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375" w:rsidRDefault="00901375" w:rsidP="0090137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Предложение за изменения в </w:t>
      </w:r>
      <w:r w:rsidRPr="00901375">
        <w:rPr>
          <w:rFonts w:ascii="Times New Roman" w:hAnsi="Times New Roman" w:cs="Times New Roman"/>
          <w:b/>
          <w:sz w:val="24"/>
          <w:szCs w:val="24"/>
          <w:lang w:val="bg-BG"/>
        </w:rPr>
        <w:t>част от интервенциите в областта на околната среда и климата по чл. 70 от Регламент (ЕС) 2021/2115</w:t>
      </w:r>
    </w:p>
    <w:p w:rsidR="00901375" w:rsidRDefault="00901375" w:rsidP="00F5618E">
      <w:pPr>
        <w:jc w:val="center"/>
        <w:rPr>
          <w:rFonts w:ascii="Times New Roman" w:hAnsi="Times New Roman" w:cs="Times New Roman"/>
          <w:b/>
          <w:sz w:val="24"/>
          <w:szCs w:val="24"/>
          <w:lang w:val="bg-BG"/>
        </w:rPr>
      </w:pPr>
    </w:p>
    <w:p w:rsidR="00525A7B" w:rsidRPr="000A60B4" w:rsidRDefault="00F5618E" w:rsidP="000A60B4">
      <w:pPr>
        <w:pStyle w:val="Heading1"/>
        <w:numPr>
          <w:ilvl w:val="0"/>
          <w:numId w:val="5"/>
        </w:numPr>
        <w:jc w:val="both"/>
        <w:rPr>
          <w:rFonts w:ascii="Times New Roman" w:hAnsi="Times New Roman" w:cs="Times New Roman"/>
          <w:b/>
          <w:color w:val="auto"/>
          <w:sz w:val="24"/>
          <w:szCs w:val="24"/>
          <w:lang w:val="bg-BG"/>
        </w:rPr>
      </w:pPr>
      <w:r w:rsidRPr="000A60B4">
        <w:rPr>
          <w:rFonts w:ascii="Times New Roman" w:hAnsi="Times New Roman" w:cs="Times New Roman"/>
          <w:b/>
          <w:color w:val="auto"/>
          <w:sz w:val="24"/>
          <w:szCs w:val="24"/>
          <w:lang w:val="bg-BG"/>
        </w:rPr>
        <w:t>Предложение за промяна в продължителността на ангажиментите</w:t>
      </w:r>
      <w:r w:rsidR="004C3FBB" w:rsidRPr="000A60B4">
        <w:rPr>
          <w:rFonts w:ascii="Times New Roman" w:hAnsi="Times New Roman" w:cs="Times New Roman"/>
          <w:b/>
          <w:color w:val="auto"/>
          <w:sz w:val="24"/>
          <w:szCs w:val="24"/>
          <w:lang w:val="bg-BG"/>
        </w:rPr>
        <w:t xml:space="preserve"> по част от интервенциите</w:t>
      </w:r>
      <w:r w:rsidRPr="000A60B4">
        <w:rPr>
          <w:rFonts w:ascii="Times New Roman" w:hAnsi="Times New Roman" w:cs="Times New Roman"/>
          <w:b/>
          <w:color w:val="auto"/>
          <w:sz w:val="24"/>
          <w:szCs w:val="24"/>
          <w:lang w:val="bg-BG"/>
        </w:rPr>
        <w:t xml:space="preserve"> </w:t>
      </w:r>
    </w:p>
    <w:p w:rsidR="00267642" w:rsidRDefault="00267642" w:rsidP="00901375">
      <w:pPr>
        <w:jc w:val="both"/>
        <w:rPr>
          <w:rFonts w:ascii="Times New Roman" w:hAnsi="Times New Roman" w:cs="Times New Roman"/>
          <w:sz w:val="24"/>
          <w:szCs w:val="24"/>
          <w:lang w:val="bg-BG"/>
        </w:rPr>
      </w:pPr>
    </w:p>
    <w:p w:rsidR="00F5618E" w:rsidRDefault="00F5618E" w:rsidP="00901375">
      <w:pPr>
        <w:jc w:val="both"/>
        <w:rPr>
          <w:rFonts w:ascii="Times New Roman" w:hAnsi="Times New Roman" w:cs="Times New Roman"/>
          <w:sz w:val="24"/>
          <w:szCs w:val="24"/>
          <w:lang w:val="bg-BG"/>
        </w:rPr>
      </w:pPr>
      <w:r w:rsidRPr="005B2C2E">
        <w:rPr>
          <w:rFonts w:ascii="Times New Roman" w:hAnsi="Times New Roman" w:cs="Times New Roman"/>
          <w:sz w:val="24"/>
          <w:szCs w:val="24"/>
          <w:lang w:val="bg-BG"/>
        </w:rPr>
        <w:t xml:space="preserve">В параграф </w:t>
      </w:r>
      <w:r>
        <w:rPr>
          <w:rFonts w:ascii="Times New Roman" w:hAnsi="Times New Roman" w:cs="Times New Roman"/>
          <w:sz w:val="24"/>
          <w:szCs w:val="24"/>
          <w:lang w:val="bg-BG"/>
        </w:rPr>
        <w:t xml:space="preserve">6 </w:t>
      </w:r>
      <w:r w:rsidRPr="005B2C2E">
        <w:rPr>
          <w:rFonts w:ascii="Times New Roman" w:hAnsi="Times New Roman" w:cs="Times New Roman"/>
          <w:sz w:val="24"/>
          <w:szCs w:val="24"/>
          <w:lang w:val="bg-BG"/>
        </w:rPr>
        <w:t xml:space="preserve">на чл. 70 от </w:t>
      </w:r>
      <w:r w:rsidRPr="005B2C2E">
        <w:rPr>
          <w:rFonts w:ascii="Times New Roman" w:hAnsi="Times New Roman" w:cs="Times New Roman"/>
          <w:bCs/>
          <w:sz w:val="24"/>
          <w:szCs w:val="24"/>
          <w:lang w:val="bg-BG"/>
        </w:rPr>
        <w:t>Регламент</w:t>
      </w:r>
      <w:r w:rsidR="00262AC7">
        <w:rPr>
          <w:rFonts w:ascii="Times New Roman" w:hAnsi="Times New Roman" w:cs="Times New Roman"/>
          <w:bCs/>
          <w:sz w:val="24"/>
          <w:szCs w:val="24"/>
          <w:lang w:val="bg-BG"/>
        </w:rPr>
        <w:t xml:space="preserve"> </w:t>
      </w:r>
      <w:r w:rsidRPr="005B2C2E">
        <w:rPr>
          <w:rFonts w:ascii="Times New Roman" w:hAnsi="Times New Roman" w:cs="Times New Roman"/>
          <w:bCs/>
          <w:sz w:val="24"/>
          <w:szCs w:val="24"/>
          <w:lang w:val="bg-BG"/>
        </w:rPr>
        <w:t>(ЕС)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w:t>
      </w:r>
      <w:r w:rsidRPr="005B2C2E">
        <w:rPr>
          <w:rFonts w:ascii="Times New Roman" w:hAnsi="Times New Roman" w:cs="Times New Roman"/>
          <w:sz w:val="24"/>
          <w:szCs w:val="24"/>
          <w:lang w:val="bg-BG"/>
        </w:rPr>
        <w:t xml:space="preserve"> е посочено, че</w:t>
      </w:r>
      <w:r>
        <w:rPr>
          <w:rFonts w:ascii="Times New Roman" w:hAnsi="Times New Roman" w:cs="Times New Roman"/>
          <w:sz w:val="24"/>
          <w:szCs w:val="24"/>
          <w:lang w:val="bg-BG"/>
        </w:rPr>
        <w:t xml:space="preserve"> в надлежно обосновани случай, държавите членки могат да определят по-кратък период на ангажиментите в областта на околната среда и климата.</w:t>
      </w:r>
    </w:p>
    <w:p w:rsidR="00262AC7" w:rsidRDefault="00F5618E" w:rsidP="00901375">
      <w:pPr>
        <w:jc w:val="both"/>
        <w:rPr>
          <w:rFonts w:ascii="Times New Roman" w:hAnsi="Times New Roman" w:cs="Times New Roman"/>
          <w:sz w:val="24"/>
          <w:szCs w:val="24"/>
          <w:lang w:val="bg-BG"/>
        </w:rPr>
      </w:pPr>
      <w:r>
        <w:rPr>
          <w:rFonts w:ascii="Times New Roman" w:hAnsi="Times New Roman" w:cs="Times New Roman"/>
          <w:sz w:val="24"/>
          <w:szCs w:val="24"/>
          <w:lang w:val="bg-BG"/>
        </w:rPr>
        <w:t>В тази връзка и с оглед на факта, че 2025 г. е средата на програмния период за прилагане на Стратегическия план</w:t>
      </w:r>
      <w:r>
        <w:rPr>
          <w:rFonts w:ascii="Times New Roman" w:hAnsi="Times New Roman" w:cs="Times New Roman"/>
          <w:sz w:val="24"/>
          <w:szCs w:val="24"/>
        </w:rPr>
        <w:t xml:space="preserve"> 2023</w:t>
      </w:r>
      <w:r w:rsidR="00715651">
        <w:rPr>
          <w:rFonts w:ascii="Times New Roman" w:hAnsi="Times New Roman" w:cs="Times New Roman"/>
          <w:sz w:val="24"/>
          <w:szCs w:val="24"/>
          <w:lang w:val="bg-BG"/>
        </w:rPr>
        <w:t xml:space="preserve"> </w:t>
      </w:r>
      <w:r>
        <w:rPr>
          <w:rFonts w:ascii="Times New Roman" w:hAnsi="Times New Roman" w:cs="Times New Roman"/>
          <w:sz w:val="24"/>
          <w:szCs w:val="24"/>
        </w:rPr>
        <w:t>-</w:t>
      </w:r>
      <w:r w:rsidR="00715651">
        <w:rPr>
          <w:rFonts w:ascii="Times New Roman" w:hAnsi="Times New Roman" w:cs="Times New Roman"/>
          <w:sz w:val="24"/>
          <w:szCs w:val="24"/>
          <w:lang w:val="bg-BG"/>
        </w:rPr>
        <w:t xml:space="preserve"> </w:t>
      </w:r>
      <w:r>
        <w:rPr>
          <w:rFonts w:ascii="Times New Roman" w:hAnsi="Times New Roman" w:cs="Times New Roman"/>
          <w:sz w:val="24"/>
          <w:szCs w:val="24"/>
        </w:rPr>
        <w:t xml:space="preserve">2027 </w:t>
      </w:r>
      <w:r>
        <w:rPr>
          <w:rFonts w:ascii="Times New Roman" w:hAnsi="Times New Roman" w:cs="Times New Roman"/>
          <w:sz w:val="24"/>
          <w:szCs w:val="24"/>
          <w:lang w:val="bg-BG"/>
        </w:rPr>
        <w:t>г., Управляващият орган на С</w:t>
      </w:r>
      <w:r w:rsidR="00A0394A">
        <w:rPr>
          <w:rFonts w:ascii="Times New Roman" w:hAnsi="Times New Roman" w:cs="Times New Roman"/>
          <w:sz w:val="24"/>
          <w:szCs w:val="24"/>
          <w:lang w:val="bg-BG"/>
        </w:rPr>
        <w:t>тратегическия план</w:t>
      </w:r>
      <w:r>
        <w:rPr>
          <w:rFonts w:ascii="Times New Roman" w:hAnsi="Times New Roman" w:cs="Times New Roman"/>
          <w:sz w:val="24"/>
          <w:szCs w:val="24"/>
          <w:lang w:val="bg-BG"/>
        </w:rPr>
        <w:t xml:space="preserve"> предлага новите ангажименти, които ще се поемат през 2026  г. да </w:t>
      </w:r>
      <w:r w:rsidR="00262AC7">
        <w:rPr>
          <w:rFonts w:ascii="Times New Roman" w:hAnsi="Times New Roman" w:cs="Times New Roman"/>
          <w:sz w:val="24"/>
          <w:szCs w:val="24"/>
          <w:lang w:val="bg-BG"/>
        </w:rPr>
        <w:t>бъдат</w:t>
      </w:r>
      <w:r>
        <w:rPr>
          <w:rFonts w:ascii="Times New Roman" w:hAnsi="Times New Roman" w:cs="Times New Roman"/>
          <w:sz w:val="24"/>
          <w:szCs w:val="24"/>
          <w:lang w:val="bg-BG"/>
        </w:rPr>
        <w:t xml:space="preserve"> с продължителност до 3 г.</w:t>
      </w:r>
      <w:r w:rsidR="00262AC7">
        <w:rPr>
          <w:rFonts w:ascii="Times New Roman" w:hAnsi="Times New Roman" w:cs="Times New Roman"/>
          <w:sz w:val="24"/>
          <w:szCs w:val="24"/>
          <w:lang w:val="bg-BG"/>
        </w:rPr>
        <w:t xml:space="preserve"> за следните интервенции:</w:t>
      </w:r>
    </w:p>
    <w:p w:rsidR="00B4303F" w:rsidRDefault="00B4303F" w:rsidP="00901375">
      <w:pPr>
        <w:pStyle w:val="ListParagraph"/>
        <w:numPr>
          <w:ilvl w:val="0"/>
          <w:numId w:val="1"/>
        </w:numPr>
        <w:jc w:val="both"/>
        <w:rPr>
          <w:rFonts w:ascii="Times New Roman" w:hAnsi="Times New Roman" w:cs="Times New Roman"/>
          <w:sz w:val="24"/>
          <w:szCs w:val="24"/>
          <w:lang w:val="bg-BG"/>
        </w:rPr>
      </w:pPr>
      <w:r w:rsidRPr="00B4303F">
        <w:rPr>
          <w:rFonts w:ascii="Times New Roman" w:hAnsi="Times New Roman" w:cs="Times New Roman"/>
          <w:sz w:val="24"/>
          <w:szCs w:val="24"/>
          <w:lang w:val="bg-BG"/>
        </w:rPr>
        <w:t xml:space="preserve">II.А.4. </w:t>
      </w:r>
      <w:r>
        <w:rPr>
          <w:rFonts w:ascii="Times New Roman" w:hAnsi="Times New Roman" w:cs="Times New Roman"/>
          <w:sz w:val="24"/>
          <w:szCs w:val="24"/>
          <w:lang w:val="bg-BG"/>
        </w:rPr>
        <w:t>„</w:t>
      </w:r>
      <w:r w:rsidRPr="00B4303F">
        <w:rPr>
          <w:rFonts w:ascii="Times New Roman" w:hAnsi="Times New Roman" w:cs="Times New Roman"/>
          <w:sz w:val="24"/>
          <w:szCs w:val="24"/>
          <w:lang w:val="bg-BG"/>
        </w:rPr>
        <w:t>Насърчаване използването на култури и сортове, устойчиви към климатичните условия</w:t>
      </w:r>
      <w:r>
        <w:rPr>
          <w:rFonts w:ascii="Times New Roman" w:hAnsi="Times New Roman" w:cs="Times New Roman"/>
          <w:sz w:val="24"/>
          <w:szCs w:val="24"/>
          <w:lang w:val="bg-BG"/>
        </w:rPr>
        <w:t>“;</w:t>
      </w:r>
    </w:p>
    <w:p w:rsidR="0063287E" w:rsidRDefault="0063287E" w:rsidP="00901375">
      <w:pPr>
        <w:pStyle w:val="ListParagraph"/>
        <w:numPr>
          <w:ilvl w:val="0"/>
          <w:numId w:val="1"/>
        </w:numPr>
        <w:jc w:val="both"/>
        <w:rPr>
          <w:rFonts w:ascii="Times New Roman" w:hAnsi="Times New Roman" w:cs="Times New Roman"/>
          <w:sz w:val="24"/>
          <w:szCs w:val="24"/>
          <w:lang w:val="bg-BG"/>
        </w:rPr>
      </w:pPr>
      <w:r>
        <w:rPr>
          <w:rFonts w:ascii="Times New Roman" w:hAnsi="Times New Roman" w:cs="Times New Roman"/>
          <w:sz w:val="24"/>
          <w:szCs w:val="24"/>
          <w:lang w:val="bg-BG"/>
        </w:rPr>
        <w:t>II.А.5. „</w:t>
      </w:r>
      <w:r w:rsidRPr="0063287E">
        <w:rPr>
          <w:rFonts w:ascii="Times New Roman" w:hAnsi="Times New Roman" w:cs="Times New Roman"/>
          <w:sz w:val="24"/>
          <w:szCs w:val="24"/>
          <w:lang w:val="bg-BG"/>
        </w:rPr>
        <w:t>Опазване на застрашени от изчезване местни сортове, важни за селското стопанство</w:t>
      </w:r>
      <w:r>
        <w:rPr>
          <w:rFonts w:ascii="Times New Roman" w:hAnsi="Times New Roman" w:cs="Times New Roman"/>
          <w:sz w:val="24"/>
          <w:szCs w:val="24"/>
          <w:lang w:val="bg-BG"/>
        </w:rPr>
        <w:t>“;</w:t>
      </w:r>
    </w:p>
    <w:p w:rsidR="004E2C14" w:rsidRDefault="00715651" w:rsidP="00901375">
      <w:pPr>
        <w:pStyle w:val="ListParagraph"/>
        <w:numPr>
          <w:ilvl w:val="0"/>
          <w:numId w:val="1"/>
        </w:numPr>
        <w:jc w:val="both"/>
        <w:rPr>
          <w:rFonts w:ascii="Times New Roman" w:hAnsi="Times New Roman" w:cs="Times New Roman"/>
          <w:sz w:val="24"/>
          <w:szCs w:val="24"/>
          <w:lang w:val="bg-BG"/>
        </w:rPr>
      </w:pPr>
      <w:r>
        <w:rPr>
          <w:rFonts w:ascii="Times New Roman" w:hAnsi="Times New Roman" w:cs="Times New Roman"/>
          <w:sz w:val="24"/>
          <w:szCs w:val="24"/>
          <w:lang w:val="bg-BG"/>
        </w:rPr>
        <w:t>операция 1</w:t>
      </w:r>
      <w:r w:rsidR="004E2C14" w:rsidRPr="004E2C14">
        <w:rPr>
          <w:rFonts w:ascii="Times New Roman" w:hAnsi="Times New Roman" w:cs="Times New Roman"/>
          <w:sz w:val="24"/>
          <w:szCs w:val="24"/>
          <w:lang w:val="bg-BG"/>
        </w:rPr>
        <w:t xml:space="preserve"> „Засяване и отглеждане на есенни зърнено-житни култури в местообитанията на червеногушата гъска на 50 % от заявената по дейността площ и с минимум 30 % царевица</w:t>
      </w:r>
      <w:r w:rsidR="004E2C14">
        <w:rPr>
          <w:rFonts w:ascii="Times New Roman" w:hAnsi="Times New Roman" w:cs="Times New Roman"/>
          <w:sz w:val="24"/>
          <w:szCs w:val="24"/>
          <w:lang w:val="bg-BG"/>
        </w:rPr>
        <w:t>“ от интервенция II.А.8. „</w:t>
      </w:r>
      <w:r w:rsidR="004E2C14" w:rsidRPr="004E2C14">
        <w:rPr>
          <w:rFonts w:ascii="Times New Roman" w:hAnsi="Times New Roman" w:cs="Times New Roman"/>
          <w:sz w:val="24"/>
          <w:szCs w:val="24"/>
          <w:lang w:val="bg-BG"/>
        </w:rPr>
        <w:t>Поддържане на местообитанията на червеногушата гъска (Branta ruficollis), Кръстат (царски) орел и Египетски лешояд в орнитологични важни места в обработваеми земи</w:t>
      </w:r>
      <w:r w:rsidR="004E2C14">
        <w:rPr>
          <w:rFonts w:ascii="Times New Roman" w:hAnsi="Times New Roman" w:cs="Times New Roman"/>
          <w:sz w:val="24"/>
          <w:szCs w:val="24"/>
          <w:lang w:val="bg-BG"/>
        </w:rPr>
        <w:t>“;</w:t>
      </w:r>
    </w:p>
    <w:p w:rsidR="00262AC7" w:rsidRPr="00262AC7" w:rsidRDefault="00262AC7" w:rsidP="00901375">
      <w:pPr>
        <w:pStyle w:val="ListParagraph"/>
        <w:numPr>
          <w:ilvl w:val="0"/>
          <w:numId w:val="1"/>
        </w:numPr>
        <w:jc w:val="both"/>
        <w:rPr>
          <w:rFonts w:ascii="Times New Roman" w:hAnsi="Times New Roman" w:cs="Times New Roman"/>
          <w:sz w:val="24"/>
          <w:szCs w:val="24"/>
          <w:lang w:val="bg-BG"/>
        </w:rPr>
      </w:pPr>
      <w:r>
        <w:rPr>
          <w:rFonts w:ascii="Times New Roman" w:hAnsi="Times New Roman" w:cs="Times New Roman"/>
          <w:sz w:val="24"/>
          <w:szCs w:val="24"/>
          <w:lang w:val="bg-BG"/>
        </w:rPr>
        <w:t>о</w:t>
      </w:r>
      <w:r w:rsidR="00715651">
        <w:rPr>
          <w:rFonts w:ascii="Times New Roman" w:hAnsi="Times New Roman" w:cs="Times New Roman"/>
          <w:sz w:val="24"/>
          <w:szCs w:val="24"/>
          <w:lang w:val="bg-BG"/>
        </w:rPr>
        <w:t>перация 1</w:t>
      </w:r>
      <w:r w:rsidRPr="00262AC7">
        <w:rPr>
          <w:rFonts w:ascii="Times New Roman" w:hAnsi="Times New Roman" w:cs="Times New Roman"/>
          <w:sz w:val="24"/>
          <w:szCs w:val="24"/>
          <w:lang w:val="bg-BG"/>
        </w:rPr>
        <w:t xml:space="preserve"> </w:t>
      </w:r>
      <w:r w:rsidR="00715651">
        <w:rPr>
          <w:rFonts w:ascii="Times New Roman" w:hAnsi="Times New Roman" w:cs="Times New Roman"/>
          <w:sz w:val="24"/>
          <w:szCs w:val="24"/>
          <w:lang w:val="bg-BG"/>
        </w:rPr>
        <w:t>„</w:t>
      </w:r>
      <w:r w:rsidRPr="00262AC7">
        <w:rPr>
          <w:rFonts w:ascii="Times New Roman" w:hAnsi="Times New Roman" w:cs="Times New Roman"/>
          <w:sz w:val="24"/>
          <w:szCs w:val="24"/>
          <w:lang w:val="bg-BG"/>
        </w:rPr>
        <w:t>Осигуряване на опрашване в планински райони и защитени зони от мрежата Натура 2000 (стационарни пчелини)</w:t>
      </w:r>
      <w:r w:rsidR="00715651">
        <w:rPr>
          <w:rFonts w:ascii="Times New Roman" w:hAnsi="Times New Roman" w:cs="Times New Roman"/>
          <w:sz w:val="24"/>
          <w:szCs w:val="24"/>
          <w:lang w:val="bg-BG"/>
        </w:rPr>
        <w:t>“</w:t>
      </w:r>
      <w:r>
        <w:rPr>
          <w:rFonts w:ascii="Times New Roman" w:hAnsi="Times New Roman" w:cs="Times New Roman"/>
          <w:sz w:val="24"/>
          <w:szCs w:val="24"/>
          <w:lang w:val="bg-BG"/>
        </w:rPr>
        <w:t xml:space="preserve"> от интервенция </w:t>
      </w:r>
      <w:r w:rsidRPr="00262AC7">
        <w:rPr>
          <w:rFonts w:ascii="Times New Roman" w:hAnsi="Times New Roman" w:cs="Times New Roman"/>
          <w:sz w:val="24"/>
          <w:szCs w:val="24"/>
          <w:lang w:val="bg-BG"/>
        </w:rPr>
        <w:t>II.А.12 „Насърчаване на естественото опрашване</w:t>
      </w:r>
      <w:r>
        <w:rPr>
          <w:rFonts w:ascii="Times New Roman" w:hAnsi="Times New Roman" w:cs="Times New Roman"/>
          <w:sz w:val="24"/>
          <w:szCs w:val="24"/>
          <w:lang w:val="bg-BG"/>
        </w:rPr>
        <w:t>“;</w:t>
      </w:r>
    </w:p>
    <w:p w:rsidR="00262AC7" w:rsidRPr="00262AC7" w:rsidRDefault="00A0394A" w:rsidP="00901375">
      <w:pPr>
        <w:pStyle w:val="ListParagraph"/>
        <w:numPr>
          <w:ilvl w:val="0"/>
          <w:numId w:val="1"/>
        </w:numPr>
        <w:jc w:val="both"/>
        <w:rPr>
          <w:rFonts w:ascii="Times New Roman" w:hAnsi="Times New Roman" w:cs="Times New Roman"/>
          <w:sz w:val="24"/>
          <w:szCs w:val="24"/>
          <w:lang w:val="bg-BG"/>
        </w:rPr>
      </w:pPr>
      <w:r>
        <w:rPr>
          <w:rFonts w:ascii="Times New Roman" w:hAnsi="Times New Roman" w:cs="Times New Roman"/>
          <w:sz w:val="24"/>
          <w:szCs w:val="24"/>
          <w:lang w:val="bg-BG"/>
        </w:rPr>
        <w:t>II.АЕ.3. „</w:t>
      </w:r>
      <w:r w:rsidRPr="00A0394A">
        <w:rPr>
          <w:rFonts w:ascii="Times New Roman" w:hAnsi="Times New Roman" w:cs="Times New Roman"/>
          <w:sz w:val="24"/>
          <w:szCs w:val="24"/>
          <w:lang w:val="bg-BG"/>
        </w:rPr>
        <w:t>Възстановяване и поддържане на деградирали пасищни територии</w:t>
      </w:r>
      <w:r>
        <w:rPr>
          <w:rFonts w:ascii="Times New Roman" w:hAnsi="Times New Roman" w:cs="Times New Roman"/>
          <w:sz w:val="24"/>
          <w:szCs w:val="24"/>
          <w:lang w:val="bg-BG"/>
        </w:rPr>
        <w:t>“.</w:t>
      </w:r>
    </w:p>
    <w:p w:rsidR="00901375" w:rsidRPr="000A60B4" w:rsidRDefault="00F5618E" w:rsidP="00901375">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По този начин, ще </w:t>
      </w:r>
      <w:r w:rsidR="00262AC7">
        <w:rPr>
          <w:rFonts w:ascii="Times New Roman" w:hAnsi="Times New Roman" w:cs="Times New Roman"/>
          <w:sz w:val="24"/>
          <w:szCs w:val="24"/>
          <w:lang w:val="bg-BG"/>
        </w:rPr>
        <w:t>се осигури</w:t>
      </w:r>
      <w:r>
        <w:rPr>
          <w:rFonts w:ascii="Times New Roman" w:hAnsi="Times New Roman" w:cs="Times New Roman"/>
          <w:sz w:val="24"/>
          <w:szCs w:val="24"/>
          <w:lang w:val="bg-BG"/>
        </w:rPr>
        <w:t xml:space="preserve"> финансиране до края на програмния период за земеделските стопани, които искат да поемат нови ангажименти </w:t>
      </w:r>
      <w:r w:rsidR="00262AC7">
        <w:rPr>
          <w:rFonts w:ascii="Times New Roman" w:hAnsi="Times New Roman" w:cs="Times New Roman"/>
          <w:sz w:val="24"/>
          <w:szCs w:val="24"/>
          <w:lang w:val="bg-BG"/>
        </w:rPr>
        <w:t>тези</w:t>
      </w:r>
      <w:r w:rsidR="00525A7B">
        <w:rPr>
          <w:rFonts w:ascii="Times New Roman" w:hAnsi="Times New Roman" w:cs="Times New Roman"/>
          <w:sz w:val="24"/>
          <w:szCs w:val="24"/>
          <w:lang w:val="bg-BG"/>
        </w:rPr>
        <w:t xml:space="preserve"> интервенции, при спазване на крайния срок за извършване на плащанията по Стратегическия план.</w:t>
      </w:r>
    </w:p>
    <w:p w:rsidR="00901375" w:rsidRPr="000A60B4" w:rsidRDefault="00901375" w:rsidP="000A60B4">
      <w:pPr>
        <w:pStyle w:val="Heading1"/>
        <w:numPr>
          <w:ilvl w:val="0"/>
          <w:numId w:val="5"/>
        </w:numPr>
        <w:jc w:val="both"/>
        <w:rPr>
          <w:rFonts w:ascii="Times New Roman" w:hAnsi="Times New Roman" w:cs="Times New Roman"/>
          <w:b/>
          <w:color w:val="auto"/>
          <w:sz w:val="24"/>
          <w:szCs w:val="24"/>
          <w:lang w:val="bg-BG"/>
        </w:rPr>
      </w:pPr>
      <w:r w:rsidRPr="000A60B4">
        <w:rPr>
          <w:rFonts w:ascii="Times New Roman" w:hAnsi="Times New Roman" w:cs="Times New Roman"/>
          <w:b/>
          <w:color w:val="auto"/>
          <w:sz w:val="24"/>
          <w:szCs w:val="24"/>
          <w:lang w:val="bg-BG"/>
        </w:rPr>
        <w:t>Предложение за промяна в текста на интервенция „Хуманно отношение към животните и антимикробна резистентност“</w:t>
      </w:r>
    </w:p>
    <w:p w:rsidR="00267642" w:rsidRDefault="00267642" w:rsidP="00901375">
      <w:pPr>
        <w:jc w:val="both"/>
        <w:rPr>
          <w:rFonts w:ascii="Times New Roman" w:hAnsi="Times New Roman" w:cs="Times New Roman"/>
          <w:sz w:val="24"/>
          <w:szCs w:val="24"/>
          <w:lang w:val="bg-BG"/>
        </w:rPr>
      </w:pPr>
    </w:p>
    <w:p w:rsidR="00901375" w:rsidRDefault="00901375" w:rsidP="00901375">
      <w:pPr>
        <w:jc w:val="both"/>
        <w:rPr>
          <w:rFonts w:ascii="Times New Roman" w:hAnsi="Times New Roman" w:cs="Times New Roman"/>
          <w:sz w:val="24"/>
          <w:szCs w:val="24"/>
          <w:lang w:val="bg-BG"/>
        </w:rPr>
      </w:pPr>
      <w:r w:rsidRPr="00901375">
        <w:rPr>
          <w:rFonts w:ascii="Times New Roman" w:hAnsi="Times New Roman" w:cs="Times New Roman"/>
          <w:sz w:val="24"/>
          <w:szCs w:val="24"/>
          <w:lang w:val="bg-BG"/>
        </w:rPr>
        <w:t xml:space="preserve">С Решение № 853 от 12 декември 2024 г. на МС е одобрена Националната програма за профилактика, надзор, контрол и ликвидиране на болестите по животните, включително </w:t>
      </w:r>
      <w:r w:rsidRPr="00901375">
        <w:rPr>
          <w:rFonts w:ascii="Times New Roman" w:hAnsi="Times New Roman" w:cs="Times New Roman"/>
          <w:sz w:val="24"/>
          <w:szCs w:val="24"/>
          <w:lang w:val="bg-BG"/>
        </w:rPr>
        <w:lastRenderedPageBreak/>
        <w:t>зоонозите, в Република България за периода 2025 – 2027 г. В тази връзка Управляващият орган на Стратегическия план предлага да бъдат допълнени текстовете на интервенция „Хуманно отношение към животните и антимикробна резистентност“ като бъде включена новата програма.</w:t>
      </w:r>
    </w:p>
    <w:p w:rsidR="00901375" w:rsidRPr="000A60B4" w:rsidRDefault="00901375" w:rsidP="000A60B4">
      <w:pPr>
        <w:pStyle w:val="Heading1"/>
        <w:numPr>
          <w:ilvl w:val="0"/>
          <w:numId w:val="5"/>
        </w:numPr>
        <w:jc w:val="both"/>
        <w:rPr>
          <w:rFonts w:ascii="Times New Roman" w:hAnsi="Times New Roman" w:cs="Times New Roman"/>
          <w:b/>
          <w:color w:val="auto"/>
          <w:sz w:val="24"/>
          <w:szCs w:val="24"/>
          <w:lang w:val="bg-BG"/>
        </w:rPr>
      </w:pPr>
      <w:r w:rsidRPr="000A60B4">
        <w:rPr>
          <w:rFonts w:ascii="Times New Roman" w:hAnsi="Times New Roman" w:cs="Times New Roman"/>
          <w:b/>
          <w:color w:val="auto"/>
          <w:sz w:val="24"/>
          <w:szCs w:val="24"/>
          <w:lang w:val="bg-BG"/>
        </w:rPr>
        <w:t>Промяна в нивата на подпомагане в интервенция „Насърчаване на естественото опрашване“</w:t>
      </w:r>
    </w:p>
    <w:p w:rsidR="00267642" w:rsidRDefault="00267642" w:rsidP="00901375">
      <w:pPr>
        <w:jc w:val="both"/>
        <w:rPr>
          <w:rFonts w:ascii="Times New Roman" w:hAnsi="Times New Roman"/>
          <w:sz w:val="24"/>
          <w:szCs w:val="24"/>
          <w:lang w:val="bg-BG"/>
        </w:rPr>
      </w:pPr>
    </w:p>
    <w:p w:rsidR="00901375" w:rsidRDefault="00901375" w:rsidP="00901375">
      <w:pPr>
        <w:jc w:val="both"/>
        <w:rPr>
          <w:rFonts w:ascii="Times New Roman" w:hAnsi="Times New Roman"/>
          <w:sz w:val="24"/>
          <w:szCs w:val="24"/>
          <w:lang w:val="bg-BG"/>
        </w:rPr>
      </w:pPr>
      <w:r>
        <w:rPr>
          <w:rFonts w:ascii="Times New Roman" w:hAnsi="Times New Roman"/>
          <w:sz w:val="24"/>
          <w:szCs w:val="24"/>
          <w:lang w:val="bg-BG"/>
        </w:rPr>
        <w:t xml:space="preserve">Във връзка с получени </w:t>
      </w:r>
      <w:r w:rsidRPr="00701AE5">
        <w:rPr>
          <w:rFonts w:ascii="Times New Roman" w:hAnsi="Times New Roman"/>
          <w:sz w:val="24"/>
          <w:szCs w:val="24"/>
          <w:lang w:val="bg-BG"/>
        </w:rPr>
        <w:t xml:space="preserve">предложения от браншови организации, при подготовка на </w:t>
      </w:r>
      <w:r>
        <w:rPr>
          <w:rFonts w:ascii="Times New Roman" w:hAnsi="Times New Roman"/>
          <w:sz w:val="24"/>
          <w:szCs w:val="24"/>
          <w:lang w:val="bg-BG"/>
        </w:rPr>
        <w:t>четвърто</w:t>
      </w:r>
      <w:r w:rsidRPr="00701AE5">
        <w:rPr>
          <w:rFonts w:ascii="Times New Roman" w:hAnsi="Times New Roman"/>
          <w:sz w:val="24"/>
          <w:szCs w:val="24"/>
          <w:lang w:val="bg-BG"/>
        </w:rPr>
        <w:t xml:space="preserve"> изменение на Стратегическия план е направен анализ за наличните средства по интервенци</w:t>
      </w:r>
      <w:r>
        <w:rPr>
          <w:rFonts w:ascii="Times New Roman" w:hAnsi="Times New Roman"/>
          <w:sz w:val="24"/>
          <w:szCs w:val="24"/>
          <w:lang w:val="bg-BG"/>
        </w:rPr>
        <w:t xml:space="preserve">я </w:t>
      </w:r>
      <w:r w:rsidRPr="00701AE5">
        <w:rPr>
          <w:rFonts w:ascii="Times New Roman" w:hAnsi="Times New Roman"/>
          <w:sz w:val="24"/>
          <w:szCs w:val="24"/>
          <w:lang w:val="bg-BG"/>
        </w:rPr>
        <w:t>„Насърча</w:t>
      </w:r>
      <w:r>
        <w:rPr>
          <w:rFonts w:ascii="Times New Roman" w:hAnsi="Times New Roman"/>
          <w:sz w:val="24"/>
          <w:szCs w:val="24"/>
          <w:lang w:val="bg-BG"/>
        </w:rPr>
        <w:t>ване на естественото опрашване“</w:t>
      </w:r>
      <w:r w:rsidRPr="00701AE5">
        <w:rPr>
          <w:rFonts w:ascii="Times New Roman" w:hAnsi="Times New Roman"/>
          <w:sz w:val="24"/>
          <w:szCs w:val="24"/>
          <w:lang w:val="bg-BG"/>
        </w:rPr>
        <w:t xml:space="preserve"> и възможностите за увеличаване</w:t>
      </w:r>
      <w:r>
        <w:rPr>
          <w:rFonts w:ascii="Times New Roman" w:hAnsi="Times New Roman"/>
          <w:sz w:val="24"/>
          <w:szCs w:val="24"/>
          <w:lang w:val="bg-BG"/>
        </w:rPr>
        <w:t xml:space="preserve"> на нивата на подпомагане по тях, считано от 2026 г.</w:t>
      </w:r>
    </w:p>
    <w:p w:rsidR="00901375" w:rsidRDefault="00901375" w:rsidP="00901375">
      <w:pPr>
        <w:jc w:val="both"/>
        <w:rPr>
          <w:rFonts w:ascii="Times New Roman" w:hAnsi="Times New Roman"/>
          <w:sz w:val="24"/>
          <w:szCs w:val="24"/>
          <w:lang w:val="bg-BG"/>
        </w:rPr>
      </w:pPr>
      <w:r>
        <w:rPr>
          <w:rFonts w:ascii="Times New Roman" w:hAnsi="Times New Roman"/>
          <w:sz w:val="24"/>
          <w:szCs w:val="24"/>
          <w:lang w:val="bg-BG"/>
        </w:rPr>
        <w:t xml:space="preserve">Бюджетът по интервенцията </w:t>
      </w:r>
      <w:r w:rsidRPr="00701AE5">
        <w:rPr>
          <w:rFonts w:ascii="Times New Roman" w:hAnsi="Times New Roman"/>
          <w:sz w:val="24"/>
          <w:szCs w:val="24"/>
          <w:lang w:val="bg-BG"/>
        </w:rPr>
        <w:t>„Насърчаване на естественото опрашване“</w:t>
      </w:r>
      <w:r>
        <w:rPr>
          <w:rFonts w:ascii="Times New Roman" w:hAnsi="Times New Roman"/>
          <w:sz w:val="24"/>
          <w:szCs w:val="24"/>
          <w:lang w:val="bg-BG"/>
        </w:rPr>
        <w:t xml:space="preserve"> е в размер на </w:t>
      </w:r>
      <w:r w:rsidRPr="00DB15F3">
        <w:rPr>
          <w:rFonts w:ascii="Times New Roman" w:hAnsi="Times New Roman"/>
          <w:sz w:val="24"/>
          <w:szCs w:val="24"/>
          <w:lang w:val="bg-BG"/>
        </w:rPr>
        <w:t>24 000</w:t>
      </w:r>
      <w:r>
        <w:rPr>
          <w:rFonts w:ascii="Times New Roman" w:hAnsi="Times New Roman"/>
          <w:sz w:val="24"/>
          <w:szCs w:val="24"/>
          <w:lang w:val="bg-BG"/>
        </w:rPr>
        <w:t> </w:t>
      </w:r>
      <w:r w:rsidRPr="00DB15F3">
        <w:rPr>
          <w:rFonts w:ascii="Times New Roman" w:hAnsi="Times New Roman"/>
          <w:sz w:val="24"/>
          <w:szCs w:val="24"/>
          <w:lang w:val="bg-BG"/>
        </w:rPr>
        <w:t>000</w:t>
      </w:r>
      <w:r>
        <w:rPr>
          <w:rFonts w:ascii="Times New Roman" w:hAnsi="Times New Roman"/>
          <w:sz w:val="24"/>
          <w:szCs w:val="24"/>
          <w:lang w:val="bg-BG"/>
        </w:rPr>
        <w:t xml:space="preserve"> евро общо публични средства, като към 30.06.2025 г. от него са изплатени средства в размер на </w:t>
      </w:r>
      <w:r w:rsidRPr="00807164">
        <w:rPr>
          <w:rFonts w:ascii="Times New Roman" w:hAnsi="Times New Roman"/>
          <w:sz w:val="24"/>
          <w:szCs w:val="24"/>
          <w:lang w:val="bg-BG"/>
        </w:rPr>
        <w:t>726 938.37</w:t>
      </w:r>
      <w:r>
        <w:rPr>
          <w:rFonts w:ascii="Times New Roman" w:hAnsi="Times New Roman"/>
          <w:sz w:val="24"/>
          <w:szCs w:val="24"/>
          <w:lang w:val="bg-BG"/>
        </w:rPr>
        <w:t xml:space="preserve"> евро за кампания 2023 и кампания 2024 г. Подадените заявления за подпомагане за кампания 2025 г. са 386 бр., като необходимите финансови средства са приблизително 712 215.00 евро.</w:t>
      </w:r>
    </w:p>
    <w:p w:rsidR="00901375" w:rsidRDefault="00901375" w:rsidP="00901375">
      <w:pPr>
        <w:jc w:val="both"/>
        <w:rPr>
          <w:rFonts w:ascii="Times New Roman" w:hAnsi="Times New Roman"/>
          <w:sz w:val="24"/>
          <w:szCs w:val="24"/>
          <w:lang w:val="bg-BG"/>
        </w:rPr>
      </w:pPr>
      <w:r>
        <w:rPr>
          <w:rFonts w:ascii="Times New Roman" w:hAnsi="Times New Roman"/>
          <w:sz w:val="24"/>
          <w:szCs w:val="24"/>
          <w:lang w:val="bg-BG"/>
        </w:rPr>
        <w:t>На графиката е представено заявяването по интервенцията през изминалите три кампании от Стратегическия план. Наблюдава се лек ръст около 18% в общия брой на заявленията.</w:t>
      </w:r>
    </w:p>
    <w:p w:rsidR="00267642" w:rsidRDefault="00267642" w:rsidP="00901375">
      <w:pPr>
        <w:jc w:val="both"/>
        <w:rPr>
          <w:rFonts w:ascii="Times New Roman" w:hAnsi="Times New Roman"/>
          <w:sz w:val="24"/>
          <w:szCs w:val="24"/>
          <w:lang w:val="bg-BG"/>
        </w:rPr>
      </w:pPr>
    </w:p>
    <w:p w:rsidR="00901375" w:rsidRDefault="00901375" w:rsidP="00901375">
      <w:pPr>
        <w:ind w:firstLine="720"/>
        <w:rPr>
          <w:rFonts w:ascii="Times New Roman" w:hAnsi="Times New Roman"/>
          <w:sz w:val="24"/>
          <w:szCs w:val="24"/>
          <w:lang w:val="bg-BG"/>
        </w:rPr>
      </w:pPr>
      <w:r>
        <w:rPr>
          <w:noProof/>
          <w:lang w:eastAsia="en-GB"/>
        </w:rPr>
        <w:drawing>
          <wp:inline distT="0" distB="0" distL="0" distR="0" wp14:anchorId="173DD8E8" wp14:editId="3AB6EC29">
            <wp:extent cx="4579315" cy="2055571"/>
            <wp:effectExtent l="0" t="0" r="12065" b="19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67642" w:rsidRDefault="00267642" w:rsidP="00901375">
      <w:pPr>
        <w:jc w:val="both"/>
        <w:rPr>
          <w:rFonts w:ascii="Times New Roman" w:hAnsi="Times New Roman"/>
          <w:sz w:val="24"/>
          <w:szCs w:val="24"/>
          <w:lang w:val="bg-BG"/>
        </w:rPr>
      </w:pPr>
    </w:p>
    <w:p w:rsidR="00901375" w:rsidRDefault="00901375" w:rsidP="00901375">
      <w:pPr>
        <w:jc w:val="both"/>
        <w:rPr>
          <w:rFonts w:ascii="Times New Roman" w:hAnsi="Times New Roman"/>
          <w:sz w:val="24"/>
          <w:szCs w:val="24"/>
          <w:lang w:val="bg-BG"/>
        </w:rPr>
      </w:pPr>
      <w:r>
        <w:rPr>
          <w:rFonts w:ascii="Times New Roman" w:hAnsi="Times New Roman"/>
          <w:sz w:val="24"/>
          <w:szCs w:val="24"/>
          <w:lang w:val="bg-BG"/>
        </w:rPr>
        <w:t>Тенденцията през изминалите кампании показва, че интересът по операция 1 „</w:t>
      </w:r>
      <w:r w:rsidRPr="00725A4B">
        <w:rPr>
          <w:rFonts w:ascii="Times New Roman" w:hAnsi="Times New Roman"/>
          <w:sz w:val="24"/>
          <w:szCs w:val="24"/>
          <w:lang w:val="bg-BG"/>
        </w:rPr>
        <w:t>Осигуряване на опрашване в планински райони и защитени зони от мрежата Натура 2000 (стационарни пчелини)</w:t>
      </w:r>
      <w:r>
        <w:rPr>
          <w:rFonts w:ascii="Times New Roman" w:hAnsi="Times New Roman"/>
          <w:sz w:val="24"/>
          <w:szCs w:val="24"/>
          <w:lang w:val="bg-BG"/>
        </w:rPr>
        <w:t>“</w:t>
      </w:r>
      <w:r>
        <w:rPr>
          <w:rFonts w:ascii="Times New Roman" w:hAnsi="Times New Roman"/>
          <w:sz w:val="24"/>
          <w:szCs w:val="24"/>
        </w:rPr>
        <w:t xml:space="preserve"> </w:t>
      </w:r>
      <w:r>
        <w:rPr>
          <w:rFonts w:ascii="Times New Roman" w:hAnsi="Times New Roman"/>
          <w:sz w:val="24"/>
          <w:szCs w:val="24"/>
          <w:lang w:val="bg-BG"/>
        </w:rPr>
        <w:t>е значително по-голям от този по операция 2 „</w:t>
      </w:r>
      <w:r w:rsidRPr="003B755F">
        <w:rPr>
          <w:rFonts w:ascii="Times New Roman" w:hAnsi="Times New Roman"/>
          <w:sz w:val="24"/>
          <w:szCs w:val="24"/>
          <w:lang w:val="bg-BG"/>
        </w:rPr>
        <w:t>Ангажименти за предоставяне на услугата по опрашване чрез преместване и временно разполагане на пчелни семейства (подв</w:t>
      </w:r>
      <w:r>
        <w:rPr>
          <w:rFonts w:ascii="Times New Roman" w:hAnsi="Times New Roman"/>
          <w:sz w:val="24"/>
          <w:szCs w:val="24"/>
          <w:lang w:val="bg-BG"/>
        </w:rPr>
        <w:t>иж</w:t>
      </w:r>
      <w:bookmarkStart w:id="0" w:name="_GoBack"/>
      <w:bookmarkEnd w:id="0"/>
      <w:r>
        <w:rPr>
          <w:rFonts w:ascii="Times New Roman" w:hAnsi="Times New Roman"/>
          <w:sz w:val="24"/>
          <w:szCs w:val="24"/>
          <w:lang w:val="bg-BG"/>
        </w:rPr>
        <w:t xml:space="preserve">но пчеларство)“. </w:t>
      </w:r>
    </w:p>
    <w:p w:rsidR="00901375" w:rsidRDefault="00901375" w:rsidP="00901375">
      <w:pPr>
        <w:ind w:firstLine="720"/>
        <w:jc w:val="both"/>
        <w:rPr>
          <w:rFonts w:ascii="Times New Roman" w:hAnsi="Times New Roman"/>
          <w:sz w:val="24"/>
          <w:szCs w:val="24"/>
          <w:lang w:val="bg-BG"/>
        </w:rPr>
      </w:pPr>
      <w:r>
        <w:rPr>
          <w:noProof/>
          <w:lang w:eastAsia="en-GB"/>
        </w:rPr>
        <w:lastRenderedPageBreak/>
        <w:drawing>
          <wp:inline distT="0" distB="0" distL="0" distR="0" wp14:anchorId="168EBD5C" wp14:editId="7D032B70">
            <wp:extent cx="4630420" cy="2648102"/>
            <wp:effectExtent l="0" t="0" r="17780"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01375" w:rsidRDefault="00901375" w:rsidP="00901375">
      <w:pPr>
        <w:rPr>
          <w:rFonts w:ascii="Times New Roman" w:hAnsi="Times New Roman"/>
          <w:sz w:val="24"/>
          <w:szCs w:val="24"/>
          <w:lang w:val="bg-BG"/>
        </w:rPr>
      </w:pPr>
      <w:r>
        <w:rPr>
          <w:rFonts w:ascii="Times New Roman" w:hAnsi="Times New Roman"/>
          <w:sz w:val="24"/>
          <w:szCs w:val="24"/>
          <w:lang w:val="bg-BG"/>
        </w:rPr>
        <w:t xml:space="preserve">Графиката показва, че по операция 1 се наблюдава 21% ръст в заявяването за кампания 2024 спрямо кампания 2023, както и 19% ръст при К2025 спрямо К2024. </w:t>
      </w:r>
    </w:p>
    <w:p w:rsidR="00901375" w:rsidRDefault="00901375" w:rsidP="00901375">
      <w:pPr>
        <w:ind w:firstLine="720"/>
        <w:rPr>
          <w:rFonts w:ascii="Times New Roman" w:hAnsi="Times New Roman"/>
          <w:sz w:val="24"/>
          <w:szCs w:val="24"/>
          <w:lang w:val="bg-BG"/>
        </w:rPr>
      </w:pPr>
      <w:r>
        <w:rPr>
          <w:noProof/>
          <w:lang w:eastAsia="en-GB"/>
        </w:rPr>
        <w:drawing>
          <wp:inline distT="0" distB="0" distL="0" distR="0" wp14:anchorId="7DA670A7" wp14:editId="753CB85E">
            <wp:extent cx="4630521" cy="2589581"/>
            <wp:effectExtent l="0" t="0" r="17780" b="127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01375" w:rsidRDefault="00901375" w:rsidP="00901375">
      <w:pPr>
        <w:jc w:val="both"/>
        <w:rPr>
          <w:rFonts w:ascii="Times New Roman" w:hAnsi="Times New Roman"/>
          <w:sz w:val="24"/>
          <w:szCs w:val="24"/>
          <w:lang w:val="bg-BG"/>
        </w:rPr>
      </w:pPr>
      <w:r>
        <w:rPr>
          <w:rFonts w:ascii="Times New Roman" w:hAnsi="Times New Roman"/>
          <w:sz w:val="24"/>
          <w:szCs w:val="24"/>
          <w:lang w:val="bg-BG"/>
        </w:rPr>
        <w:t>Наблюдава се 36% намаление в заявяването по операция 2 за кампания 2024 спрямо кампания 2023, както и 29% намаление при К2025 спрямо К2024.</w:t>
      </w:r>
    </w:p>
    <w:p w:rsidR="00901375" w:rsidRDefault="00901375" w:rsidP="00901375">
      <w:pPr>
        <w:jc w:val="both"/>
        <w:rPr>
          <w:rFonts w:ascii="Times New Roman" w:hAnsi="Times New Roman"/>
          <w:sz w:val="24"/>
          <w:szCs w:val="24"/>
          <w:lang w:val="bg-BG"/>
        </w:rPr>
      </w:pPr>
      <w:r>
        <w:rPr>
          <w:rFonts w:ascii="Times New Roman" w:hAnsi="Times New Roman"/>
          <w:sz w:val="24"/>
          <w:szCs w:val="24"/>
          <w:lang w:val="bg-BG"/>
        </w:rPr>
        <w:t>При направено допускане, че няма да има промяна в броя на подадените заявления и се запазят нивата на подпомагане такива, каквито са към настоящия момент, по интервенцията ще са необходими средства до края на програмния период за обезпечаване на поетите ангажименти в размер на около 3 169 169</w:t>
      </w:r>
      <w:r w:rsidRPr="00507D82">
        <w:rPr>
          <w:rFonts w:ascii="Times New Roman" w:hAnsi="Times New Roman"/>
          <w:sz w:val="24"/>
          <w:szCs w:val="24"/>
          <w:lang w:val="bg-BG"/>
        </w:rPr>
        <w:t xml:space="preserve">.00 </w:t>
      </w:r>
      <w:r>
        <w:rPr>
          <w:rFonts w:ascii="Times New Roman" w:hAnsi="Times New Roman"/>
          <w:sz w:val="24"/>
          <w:szCs w:val="24"/>
          <w:lang w:val="bg-BG"/>
        </w:rPr>
        <w:t xml:space="preserve">евро. По интервенцията остават средства в размер на около </w:t>
      </w:r>
      <w:r w:rsidRPr="00507D82">
        <w:rPr>
          <w:rFonts w:ascii="Times New Roman" w:hAnsi="Times New Roman"/>
          <w:sz w:val="24"/>
          <w:szCs w:val="24"/>
        </w:rPr>
        <w:t>19</w:t>
      </w:r>
      <w:r w:rsidRPr="00507D82">
        <w:rPr>
          <w:rFonts w:ascii="Times New Roman" w:hAnsi="Times New Roman"/>
          <w:sz w:val="24"/>
          <w:szCs w:val="24"/>
          <w:lang w:val="bg-BG"/>
        </w:rPr>
        <w:t> </w:t>
      </w:r>
      <w:r w:rsidRPr="00507D82">
        <w:rPr>
          <w:rFonts w:ascii="Times New Roman" w:hAnsi="Times New Roman"/>
          <w:sz w:val="24"/>
          <w:szCs w:val="24"/>
        </w:rPr>
        <w:t>635 773</w:t>
      </w:r>
      <w:r w:rsidRPr="00507D82">
        <w:rPr>
          <w:rFonts w:ascii="Times New Roman" w:hAnsi="Times New Roman"/>
          <w:sz w:val="24"/>
          <w:szCs w:val="24"/>
          <w:lang w:val="bg-BG"/>
        </w:rPr>
        <w:t xml:space="preserve">.00 </w:t>
      </w:r>
      <w:r>
        <w:rPr>
          <w:rFonts w:ascii="Times New Roman" w:hAnsi="Times New Roman"/>
          <w:sz w:val="24"/>
          <w:szCs w:val="24"/>
          <w:lang w:val="bg-BG"/>
        </w:rPr>
        <w:t xml:space="preserve">евро. </w:t>
      </w:r>
    </w:p>
    <w:p w:rsidR="00901375" w:rsidRDefault="00901375" w:rsidP="00901375">
      <w:pPr>
        <w:jc w:val="both"/>
        <w:rPr>
          <w:rFonts w:ascii="Times New Roman" w:hAnsi="Times New Roman"/>
          <w:sz w:val="24"/>
          <w:szCs w:val="24"/>
          <w:lang w:val="bg-BG"/>
        </w:rPr>
      </w:pPr>
      <w:r>
        <w:rPr>
          <w:rFonts w:ascii="Times New Roman" w:hAnsi="Times New Roman"/>
          <w:sz w:val="24"/>
          <w:szCs w:val="24"/>
          <w:lang w:val="bg-BG"/>
        </w:rPr>
        <w:t>Съобразявайки размера на оставащите средства и с цел повишаване на интереса към интервенцията, за постигане на заложените цели и индикатори в Стратегическия план, е извършен преглед от външен изпълнител на възможността за увеличаване на нивата на подпомагане, считано от 2026 г.:</w:t>
      </w:r>
    </w:p>
    <w:tbl>
      <w:tblPr>
        <w:tblStyle w:val="TableGrid"/>
        <w:tblW w:w="9569" w:type="dxa"/>
        <w:tblLook w:val="04A0" w:firstRow="1" w:lastRow="0" w:firstColumn="1" w:lastColumn="0" w:noHBand="0" w:noVBand="1"/>
      </w:tblPr>
      <w:tblGrid>
        <w:gridCol w:w="2405"/>
        <w:gridCol w:w="1061"/>
        <w:gridCol w:w="1075"/>
        <w:gridCol w:w="1269"/>
        <w:gridCol w:w="1234"/>
        <w:gridCol w:w="1249"/>
        <w:gridCol w:w="1276"/>
      </w:tblGrid>
      <w:tr w:rsidR="00901375" w:rsidTr="00901375">
        <w:tc>
          <w:tcPr>
            <w:tcW w:w="2405" w:type="dxa"/>
          </w:tcPr>
          <w:p w:rsidR="00901375" w:rsidRPr="00901375" w:rsidRDefault="00901375" w:rsidP="0036600C">
            <w:pPr>
              <w:jc w:val="both"/>
              <w:rPr>
                <w:rFonts w:ascii="Times New Roman" w:hAnsi="Times New Roman"/>
                <w:sz w:val="20"/>
                <w:szCs w:val="20"/>
                <w:lang w:val="bg-BG"/>
              </w:rPr>
            </w:pPr>
          </w:p>
        </w:tc>
        <w:tc>
          <w:tcPr>
            <w:tcW w:w="1061" w:type="dxa"/>
          </w:tcPr>
          <w:p w:rsidR="00901375" w:rsidRPr="00901375" w:rsidRDefault="00901375" w:rsidP="00901375">
            <w:pPr>
              <w:jc w:val="center"/>
              <w:rPr>
                <w:rFonts w:ascii="Times New Roman" w:hAnsi="Times New Roman" w:cs="Times New Roman"/>
                <w:sz w:val="20"/>
                <w:szCs w:val="20"/>
                <w:lang w:val="bg-BG"/>
              </w:rPr>
            </w:pPr>
            <w:r w:rsidRPr="00901375">
              <w:rPr>
                <w:rFonts w:ascii="Times New Roman" w:hAnsi="Times New Roman" w:cs="Times New Roman"/>
                <w:sz w:val="20"/>
                <w:szCs w:val="20"/>
                <w:lang w:val="bg-BG"/>
              </w:rPr>
              <w:t>Настояща ставка, ЛЕВА</w:t>
            </w:r>
          </w:p>
        </w:tc>
        <w:tc>
          <w:tcPr>
            <w:tcW w:w="1075" w:type="dxa"/>
          </w:tcPr>
          <w:p w:rsidR="00901375" w:rsidRPr="00901375" w:rsidRDefault="00901375" w:rsidP="00901375">
            <w:pPr>
              <w:jc w:val="center"/>
              <w:rPr>
                <w:rFonts w:ascii="Times New Roman" w:hAnsi="Times New Roman" w:cs="Times New Roman"/>
                <w:sz w:val="20"/>
                <w:szCs w:val="20"/>
                <w:lang w:val="bg-BG"/>
              </w:rPr>
            </w:pPr>
            <w:r w:rsidRPr="00901375">
              <w:rPr>
                <w:rFonts w:ascii="Times New Roman" w:hAnsi="Times New Roman" w:cs="Times New Roman"/>
                <w:sz w:val="20"/>
                <w:szCs w:val="20"/>
                <w:lang w:val="bg-BG"/>
              </w:rPr>
              <w:t>Нова ставка, ЛЕВА</w:t>
            </w:r>
          </w:p>
        </w:tc>
        <w:tc>
          <w:tcPr>
            <w:tcW w:w="1269" w:type="dxa"/>
          </w:tcPr>
          <w:p w:rsidR="00901375" w:rsidRPr="00901375" w:rsidRDefault="00901375" w:rsidP="00901375">
            <w:pPr>
              <w:jc w:val="center"/>
              <w:rPr>
                <w:rFonts w:ascii="Times New Roman" w:hAnsi="Times New Roman" w:cs="Times New Roman"/>
                <w:sz w:val="20"/>
                <w:szCs w:val="20"/>
                <w:lang w:val="bg-BG"/>
              </w:rPr>
            </w:pPr>
            <w:r w:rsidRPr="00901375">
              <w:rPr>
                <w:rFonts w:ascii="Times New Roman" w:hAnsi="Times New Roman" w:cs="Times New Roman"/>
                <w:sz w:val="20"/>
                <w:szCs w:val="20"/>
                <w:lang w:val="bg-BG"/>
              </w:rPr>
              <w:t>Настояща ставка,  ЕВРО</w:t>
            </w:r>
          </w:p>
        </w:tc>
        <w:tc>
          <w:tcPr>
            <w:tcW w:w="1234" w:type="dxa"/>
          </w:tcPr>
          <w:p w:rsidR="00901375" w:rsidRPr="00901375" w:rsidRDefault="00901375" w:rsidP="00901375">
            <w:pPr>
              <w:jc w:val="center"/>
              <w:rPr>
                <w:rFonts w:ascii="Times New Roman" w:hAnsi="Times New Roman" w:cs="Times New Roman"/>
                <w:sz w:val="20"/>
                <w:szCs w:val="20"/>
                <w:lang w:val="bg-BG"/>
              </w:rPr>
            </w:pPr>
            <w:r w:rsidRPr="00901375">
              <w:rPr>
                <w:rFonts w:ascii="Times New Roman" w:hAnsi="Times New Roman" w:cs="Times New Roman"/>
                <w:sz w:val="20"/>
                <w:szCs w:val="20"/>
                <w:lang w:val="bg-BG"/>
              </w:rPr>
              <w:t>Нова ставка, ЕВРО</w:t>
            </w:r>
          </w:p>
        </w:tc>
        <w:tc>
          <w:tcPr>
            <w:tcW w:w="1249" w:type="dxa"/>
          </w:tcPr>
          <w:p w:rsidR="00901375" w:rsidRPr="00901375" w:rsidRDefault="00901375" w:rsidP="00901375">
            <w:pPr>
              <w:jc w:val="center"/>
              <w:rPr>
                <w:rFonts w:ascii="Times New Roman" w:hAnsi="Times New Roman" w:cs="Times New Roman"/>
                <w:sz w:val="20"/>
                <w:szCs w:val="20"/>
                <w:lang w:val="bg-BG"/>
              </w:rPr>
            </w:pPr>
            <w:r w:rsidRPr="00901375">
              <w:rPr>
                <w:rFonts w:ascii="Times New Roman" w:hAnsi="Times New Roman" w:cs="Times New Roman"/>
                <w:sz w:val="20"/>
                <w:szCs w:val="20"/>
                <w:lang w:val="bg-BG"/>
              </w:rPr>
              <w:t>Разлика в ЕВРО</w:t>
            </w:r>
          </w:p>
        </w:tc>
        <w:tc>
          <w:tcPr>
            <w:tcW w:w="1276" w:type="dxa"/>
          </w:tcPr>
          <w:p w:rsidR="00901375" w:rsidRPr="00901375" w:rsidRDefault="00901375" w:rsidP="00901375">
            <w:pPr>
              <w:jc w:val="center"/>
              <w:rPr>
                <w:rFonts w:ascii="Times New Roman" w:hAnsi="Times New Roman" w:cs="Times New Roman"/>
                <w:sz w:val="20"/>
                <w:szCs w:val="20"/>
                <w:lang w:val="bg-BG"/>
              </w:rPr>
            </w:pPr>
            <w:r w:rsidRPr="00901375">
              <w:rPr>
                <w:rFonts w:ascii="Times New Roman" w:hAnsi="Times New Roman" w:cs="Times New Roman"/>
                <w:sz w:val="20"/>
                <w:szCs w:val="20"/>
                <w:lang w:val="bg-BG"/>
              </w:rPr>
              <w:t>Разлика в проценти (%)</w:t>
            </w:r>
          </w:p>
        </w:tc>
      </w:tr>
      <w:tr w:rsidR="00901375" w:rsidTr="00901375">
        <w:tc>
          <w:tcPr>
            <w:tcW w:w="2405" w:type="dxa"/>
          </w:tcPr>
          <w:p w:rsidR="00901375" w:rsidRPr="00901375" w:rsidRDefault="00901375" w:rsidP="0036600C">
            <w:pPr>
              <w:rPr>
                <w:rFonts w:ascii="Times New Roman" w:hAnsi="Times New Roman"/>
                <w:b/>
                <w:sz w:val="20"/>
                <w:szCs w:val="20"/>
                <w:lang w:val="bg-BG"/>
              </w:rPr>
            </w:pPr>
            <w:r w:rsidRPr="00901375">
              <w:rPr>
                <w:rFonts w:ascii="Times New Roman" w:hAnsi="Times New Roman"/>
                <w:b/>
                <w:sz w:val="20"/>
                <w:szCs w:val="20"/>
                <w:lang w:val="bg-BG"/>
              </w:rPr>
              <w:t>Операция 1 (стационарни пчелини)</w:t>
            </w:r>
          </w:p>
        </w:tc>
        <w:tc>
          <w:tcPr>
            <w:tcW w:w="1061" w:type="dxa"/>
          </w:tcPr>
          <w:p w:rsidR="00901375" w:rsidRPr="00901375" w:rsidRDefault="00901375" w:rsidP="0036600C">
            <w:pPr>
              <w:jc w:val="both"/>
              <w:rPr>
                <w:rFonts w:ascii="Times New Roman" w:hAnsi="Times New Roman" w:cs="Times New Roman"/>
                <w:sz w:val="20"/>
                <w:szCs w:val="20"/>
                <w:lang w:val="bg-BG"/>
              </w:rPr>
            </w:pPr>
          </w:p>
        </w:tc>
        <w:tc>
          <w:tcPr>
            <w:tcW w:w="1075" w:type="dxa"/>
          </w:tcPr>
          <w:p w:rsidR="00901375" w:rsidRPr="00901375" w:rsidRDefault="00901375" w:rsidP="0036600C">
            <w:pPr>
              <w:jc w:val="both"/>
              <w:rPr>
                <w:rFonts w:ascii="Times New Roman" w:hAnsi="Times New Roman" w:cs="Times New Roman"/>
                <w:sz w:val="20"/>
                <w:szCs w:val="20"/>
                <w:lang w:val="bg-BG"/>
              </w:rPr>
            </w:pPr>
          </w:p>
        </w:tc>
        <w:tc>
          <w:tcPr>
            <w:tcW w:w="1269" w:type="dxa"/>
          </w:tcPr>
          <w:p w:rsidR="00901375" w:rsidRPr="00901375" w:rsidRDefault="00901375" w:rsidP="0036600C">
            <w:pPr>
              <w:jc w:val="both"/>
              <w:rPr>
                <w:rFonts w:ascii="Times New Roman" w:hAnsi="Times New Roman" w:cs="Times New Roman"/>
                <w:sz w:val="20"/>
                <w:szCs w:val="20"/>
                <w:lang w:val="bg-BG"/>
              </w:rPr>
            </w:pPr>
          </w:p>
        </w:tc>
        <w:tc>
          <w:tcPr>
            <w:tcW w:w="1234" w:type="dxa"/>
          </w:tcPr>
          <w:p w:rsidR="00901375" w:rsidRPr="00901375" w:rsidRDefault="00901375" w:rsidP="0036600C">
            <w:pPr>
              <w:jc w:val="both"/>
              <w:rPr>
                <w:rFonts w:ascii="Times New Roman" w:hAnsi="Times New Roman" w:cs="Times New Roman"/>
                <w:sz w:val="20"/>
                <w:szCs w:val="20"/>
                <w:lang w:val="bg-BG"/>
              </w:rPr>
            </w:pPr>
          </w:p>
        </w:tc>
        <w:tc>
          <w:tcPr>
            <w:tcW w:w="1249" w:type="dxa"/>
          </w:tcPr>
          <w:p w:rsidR="00901375" w:rsidRPr="00901375" w:rsidRDefault="00901375" w:rsidP="0036600C">
            <w:pPr>
              <w:jc w:val="both"/>
              <w:rPr>
                <w:rFonts w:ascii="Times New Roman" w:hAnsi="Times New Roman" w:cs="Times New Roman"/>
                <w:sz w:val="20"/>
                <w:szCs w:val="20"/>
                <w:lang w:val="bg-BG"/>
              </w:rPr>
            </w:pPr>
          </w:p>
        </w:tc>
        <w:tc>
          <w:tcPr>
            <w:tcW w:w="1276" w:type="dxa"/>
          </w:tcPr>
          <w:p w:rsidR="00901375" w:rsidRPr="00901375" w:rsidRDefault="00901375" w:rsidP="0036600C">
            <w:pPr>
              <w:jc w:val="both"/>
              <w:rPr>
                <w:rFonts w:ascii="Times New Roman" w:hAnsi="Times New Roman" w:cs="Times New Roman"/>
                <w:sz w:val="20"/>
                <w:szCs w:val="20"/>
                <w:lang w:val="bg-BG"/>
              </w:rPr>
            </w:pPr>
          </w:p>
        </w:tc>
      </w:tr>
      <w:tr w:rsidR="00901375" w:rsidTr="00901375">
        <w:tc>
          <w:tcPr>
            <w:tcW w:w="2405" w:type="dxa"/>
          </w:tcPr>
          <w:p w:rsidR="00901375" w:rsidRPr="00901375" w:rsidRDefault="00901375" w:rsidP="0036600C">
            <w:pPr>
              <w:jc w:val="both"/>
              <w:rPr>
                <w:rFonts w:ascii="Times New Roman" w:hAnsi="Times New Roman"/>
                <w:sz w:val="20"/>
                <w:szCs w:val="20"/>
                <w:lang w:val="bg-BG"/>
              </w:rPr>
            </w:pPr>
            <w:r w:rsidRPr="00901375">
              <w:rPr>
                <w:rFonts w:ascii="Times New Roman" w:hAnsi="Times New Roman"/>
                <w:sz w:val="20"/>
                <w:szCs w:val="20"/>
                <w:lang w:val="bg-BG"/>
              </w:rPr>
              <w:t>от 10 до  150  пчелни семейства</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3085</w:t>
            </w:r>
          </w:p>
        </w:tc>
        <w:tc>
          <w:tcPr>
            <w:tcW w:w="1075" w:type="dxa"/>
            <w:tcBorders>
              <w:top w:val="single" w:sz="4" w:space="0" w:color="auto"/>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3 477.50</w:t>
            </w:r>
          </w:p>
        </w:tc>
        <w:tc>
          <w:tcPr>
            <w:tcW w:w="1269" w:type="dxa"/>
            <w:tcBorders>
              <w:top w:val="single" w:sz="4" w:space="0" w:color="auto"/>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1 577.00</w:t>
            </w:r>
          </w:p>
        </w:tc>
        <w:tc>
          <w:tcPr>
            <w:tcW w:w="1234" w:type="dxa"/>
            <w:tcBorders>
              <w:top w:val="single" w:sz="4" w:space="0" w:color="auto"/>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1 778.02</w:t>
            </w:r>
          </w:p>
        </w:tc>
        <w:tc>
          <w:tcPr>
            <w:tcW w:w="1249" w:type="dxa"/>
            <w:tcBorders>
              <w:top w:val="single" w:sz="4" w:space="0" w:color="auto"/>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B050"/>
                <w:sz w:val="20"/>
                <w:szCs w:val="20"/>
              </w:rPr>
            </w:pPr>
            <w:r w:rsidRPr="00901375">
              <w:rPr>
                <w:rFonts w:ascii="Times New Roman" w:hAnsi="Times New Roman" w:cs="Times New Roman"/>
                <w:color w:val="00B050"/>
                <w:sz w:val="20"/>
                <w:szCs w:val="20"/>
              </w:rPr>
              <w:t>201.02</w:t>
            </w:r>
          </w:p>
        </w:tc>
        <w:tc>
          <w:tcPr>
            <w:tcW w:w="1276" w:type="dxa"/>
            <w:tcBorders>
              <w:top w:val="single" w:sz="4" w:space="0" w:color="auto"/>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B050"/>
                <w:sz w:val="20"/>
                <w:szCs w:val="20"/>
              </w:rPr>
            </w:pPr>
            <w:r w:rsidRPr="00901375">
              <w:rPr>
                <w:rFonts w:ascii="Times New Roman" w:hAnsi="Times New Roman" w:cs="Times New Roman"/>
                <w:color w:val="00B050"/>
                <w:sz w:val="20"/>
                <w:szCs w:val="20"/>
              </w:rPr>
              <w:t>12.75%</w:t>
            </w:r>
          </w:p>
        </w:tc>
      </w:tr>
      <w:tr w:rsidR="00901375" w:rsidTr="00901375">
        <w:tc>
          <w:tcPr>
            <w:tcW w:w="2405" w:type="dxa"/>
          </w:tcPr>
          <w:p w:rsidR="00901375" w:rsidRPr="00901375" w:rsidRDefault="00901375" w:rsidP="0036600C">
            <w:pPr>
              <w:jc w:val="both"/>
              <w:rPr>
                <w:rFonts w:ascii="Times New Roman" w:hAnsi="Times New Roman"/>
                <w:sz w:val="20"/>
                <w:szCs w:val="20"/>
                <w:lang w:val="bg-BG"/>
              </w:rPr>
            </w:pPr>
            <w:r w:rsidRPr="00901375">
              <w:rPr>
                <w:rFonts w:ascii="Times New Roman" w:hAnsi="Times New Roman"/>
                <w:sz w:val="20"/>
                <w:szCs w:val="20"/>
                <w:lang w:val="bg-BG"/>
              </w:rPr>
              <w:t>от 150 до  250  пчелни семейства</w:t>
            </w:r>
          </w:p>
        </w:tc>
        <w:tc>
          <w:tcPr>
            <w:tcW w:w="1061" w:type="dxa"/>
            <w:tcBorders>
              <w:top w:val="nil"/>
              <w:left w:val="single" w:sz="4" w:space="0" w:color="auto"/>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7560</w:t>
            </w:r>
          </w:p>
        </w:tc>
        <w:tc>
          <w:tcPr>
            <w:tcW w:w="1075"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8 540.00</w:t>
            </w:r>
          </w:p>
        </w:tc>
        <w:tc>
          <w:tcPr>
            <w:tcW w:w="1269"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3 865.00</w:t>
            </w:r>
          </w:p>
        </w:tc>
        <w:tc>
          <w:tcPr>
            <w:tcW w:w="1234"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4 366.43</w:t>
            </w:r>
          </w:p>
        </w:tc>
        <w:tc>
          <w:tcPr>
            <w:tcW w:w="1249"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B050"/>
                <w:sz w:val="20"/>
                <w:szCs w:val="20"/>
              </w:rPr>
            </w:pPr>
            <w:r w:rsidRPr="00901375">
              <w:rPr>
                <w:rFonts w:ascii="Times New Roman" w:hAnsi="Times New Roman" w:cs="Times New Roman"/>
                <w:color w:val="00B050"/>
                <w:sz w:val="20"/>
                <w:szCs w:val="20"/>
              </w:rPr>
              <w:t>501.43</w:t>
            </w:r>
          </w:p>
        </w:tc>
        <w:tc>
          <w:tcPr>
            <w:tcW w:w="1276"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B050"/>
                <w:sz w:val="20"/>
                <w:szCs w:val="20"/>
              </w:rPr>
            </w:pPr>
            <w:r w:rsidRPr="00901375">
              <w:rPr>
                <w:rFonts w:ascii="Times New Roman" w:hAnsi="Times New Roman" w:cs="Times New Roman"/>
                <w:color w:val="00B050"/>
                <w:sz w:val="20"/>
                <w:szCs w:val="20"/>
              </w:rPr>
              <w:t>12.97%</w:t>
            </w:r>
          </w:p>
        </w:tc>
      </w:tr>
      <w:tr w:rsidR="00901375" w:rsidTr="00901375">
        <w:tc>
          <w:tcPr>
            <w:tcW w:w="2405" w:type="dxa"/>
          </w:tcPr>
          <w:p w:rsidR="00901375" w:rsidRPr="00901375" w:rsidRDefault="00901375" w:rsidP="0036600C">
            <w:pPr>
              <w:jc w:val="both"/>
              <w:rPr>
                <w:rFonts w:ascii="Times New Roman" w:hAnsi="Times New Roman"/>
                <w:b/>
                <w:sz w:val="20"/>
                <w:szCs w:val="20"/>
                <w:lang w:val="bg-BG"/>
              </w:rPr>
            </w:pPr>
            <w:r w:rsidRPr="00901375">
              <w:rPr>
                <w:rFonts w:ascii="Times New Roman" w:hAnsi="Times New Roman"/>
                <w:b/>
                <w:sz w:val="20"/>
                <w:szCs w:val="20"/>
                <w:lang w:val="bg-BG"/>
              </w:rPr>
              <w:t xml:space="preserve">Операция 2 </w:t>
            </w:r>
          </w:p>
          <w:p w:rsidR="00901375" w:rsidRPr="00901375" w:rsidRDefault="00901375" w:rsidP="0036600C">
            <w:pPr>
              <w:jc w:val="both"/>
              <w:rPr>
                <w:rFonts w:ascii="Times New Roman" w:hAnsi="Times New Roman"/>
                <w:sz w:val="20"/>
                <w:szCs w:val="20"/>
                <w:lang w:val="bg-BG"/>
              </w:rPr>
            </w:pPr>
            <w:r w:rsidRPr="00901375">
              <w:rPr>
                <w:rFonts w:ascii="Times New Roman" w:hAnsi="Times New Roman"/>
                <w:b/>
                <w:sz w:val="20"/>
                <w:szCs w:val="20"/>
                <w:lang w:val="bg-BG"/>
              </w:rPr>
              <w:t>(подвижно пчеларство)</w:t>
            </w:r>
          </w:p>
        </w:tc>
        <w:tc>
          <w:tcPr>
            <w:tcW w:w="1061" w:type="dxa"/>
            <w:tcBorders>
              <w:top w:val="nil"/>
              <w:left w:val="single" w:sz="4" w:space="0" w:color="auto"/>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2399</w:t>
            </w:r>
          </w:p>
        </w:tc>
        <w:tc>
          <w:tcPr>
            <w:tcW w:w="1075"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2 696.50</w:t>
            </w:r>
          </w:p>
        </w:tc>
        <w:tc>
          <w:tcPr>
            <w:tcW w:w="1269"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1 226.00</w:t>
            </w:r>
          </w:p>
        </w:tc>
        <w:tc>
          <w:tcPr>
            <w:tcW w:w="1234"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0000"/>
                <w:sz w:val="20"/>
                <w:szCs w:val="20"/>
              </w:rPr>
            </w:pPr>
            <w:r w:rsidRPr="00901375">
              <w:rPr>
                <w:rFonts w:ascii="Times New Roman" w:hAnsi="Times New Roman" w:cs="Times New Roman"/>
                <w:color w:val="000000"/>
                <w:sz w:val="20"/>
                <w:szCs w:val="20"/>
              </w:rPr>
              <w:t>1 378.70</w:t>
            </w:r>
          </w:p>
        </w:tc>
        <w:tc>
          <w:tcPr>
            <w:tcW w:w="1249"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B050"/>
                <w:sz w:val="20"/>
                <w:szCs w:val="20"/>
              </w:rPr>
            </w:pPr>
            <w:r w:rsidRPr="00901375">
              <w:rPr>
                <w:rFonts w:ascii="Times New Roman" w:hAnsi="Times New Roman" w:cs="Times New Roman"/>
                <w:color w:val="00B050"/>
                <w:sz w:val="20"/>
                <w:szCs w:val="20"/>
              </w:rPr>
              <w:t>152.70</w:t>
            </w:r>
          </w:p>
        </w:tc>
        <w:tc>
          <w:tcPr>
            <w:tcW w:w="1276" w:type="dxa"/>
            <w:tcBorders>
              <w:top w:val="nil"/>
              <w:left w:val="nil"/>
              <w:bottom w:val="single" w:sz="4" w:space="0" w:color="auto"/>
              <w:right w:val="single" w:sz="4" w:space="0" w:color="auto"/>
            </w:tcBorders>
            <w:shd w:val="clear" w:color="auto" w:fill="auto"/>
            <w:vAlign w:val="bottom"/>
          </w:tcPr>
          <w:p w:rsidR="00901375" w:rsidRPr="00901375" w:rsidRDefault="00901375" w:rsidP="0036600C">
            <w:pPr>
              <w:jc w:val="right"/>
              <w:rPr>
                <w:rFonts w:ascii="Times New Roman" w:hAnsi="Times New Roman" w:cs="Times New Roman"/>
                <w:color w:val="00B050"/>
                <w:sz w:val="20"/>
                <w:szCs w:val="20"/>
              </w:rPr>
            </w:pPr>
            <w:r w:rsidRPr="00901375">
              <w:rPr>
                <w:rFonts w:ascii="Times New Roman" w:hAnsi="Times New Roman" w:cs="Times New Roman"/>
                <w:color w:val="00B050"/>
                <w:sz w:val="20"/>
                <w:szCs w:val="20"/>
              </w:rPr>
              <w:t>12.46%</w:t>
            </w:r>
          </w:p>
        </w:tc>
      </w:tr>
    </w:tbl>
    <w:p w:rsidR="00901375" w:rsidRDefault="00901375" w:rsidP="00901375">
      <w:pPr>
        <w:jc w:val="both"/>
        <w:rPr>
          <w:rFonts w:ascii="Times New Roman" w:hAnsi="Times New Roman"/>
          <w:sz w:val="24"/>
          <w:szCs w:val="24"/>
          <w:lang w:val="bg-BG"/>
        </w:rPr>
      </w:pPr>
    </w:p>
    <w:p w:rsidR="00901375" w:rsidRDefault="00901375" w:rsidP="00901375">
      <w:pPr>
        <w:jc w:val="both"/>
        <w:rPr>
          <w:rFonts w:ascii="Times New Roman" w:hAnsi="Times New Roman"/>
          <w:sz w:val="24"/>
          <w:szCs w:val="24"/>
          <w:lang w:val="bg-BG"/>
        </w:rPr>
      </w:pPr>
      <w:r>
        <w:rPr>
          <w:rFonts w:ascii="Times New Roman" w:hAnsi="Times New Roman"/>
          <w:sz w:val="24"/>
          <w:szCs w:val="24"/>
          <w:lang w:val="bg-BG"/>
        </w:rPr>
        <w:t xml:space="preserve">Извършена е оценка на бюджета и при направено допускане, че би могло да има 30% ръст в заявяването за всяка една от оставащите години (2026 и 2027), евентуално удължаване с една година на поетите през К2023 петгодишни ангажименти, при предложените нови нива на подпомагане, до края на програмния период за обезпечаване на поетите ангажименти ще са необходими средства в размер на </w:t>
      </w:r>
      <w:r w:rsidRPr="003F2AFF">
        <w:rPr>
          <w:rFonts w:ascii="Times New Roman" w:hAnsi="Times New Roman"/>
          <w:sz w:val="24"/>
          <w:szCs w:val="24"/>
          <w:lang w:val="bg-BG"/>
        </w:rPr>
        <w:t xml:space="preserve">приблизително </w:t>
      </w:r>
      <w:r w:rsidRPr="003F2AFF">
        <w:rPr>
          <w:rFonts w:ascii="Times New Roman" w:hAnsi="Times New Roman"/>
          <w:sz w:val="24"/>
          <w:szCs w:val="24"/>
        </w:rPr>
        <w:t>4 </w:t>
      </w:r>
      <w:r w:rsidRPr="003F2AFF">
        <w:rPr>
          <w:rFonts w:ascii="Times New Roman" w:hAnsi="Times New Roman"/>
          <w:sz w:val="24"/>
          <w:szCs w:val="24"/>
          <w:lang w:val="bg-BG"/>
        </w:rPr>
        <w:t xml:space="preserve">875 226.00 </w:t>
      </w:r>
      <w:r>
        <w:rPr>
          <w:rFonts w:ascii="Times New Roman" w:hAnsi="Times New Roman"/>
          <w:sz w:val="24"/>
          <w:szCs w:val="24"/>
          <w:lang w:val="bg-BG"/>
        </w:rPr>
        <w:t>евро.</w:t>
      </w:r>
    </w:p>
    <w:p w:rsidR="004C3FBB" w:rsidRPr="000A60B4" w:rsidRDefault="00901375" w:rsidP="000A60B4">
      <w:pPr>
        <w:jc w:val="both"/>
        <w:rPr>
          <w:rFonts w:ascii="Times New Roman" w:hAnsi="Times New Roman"/>
          <w:sz w:val="24"/>
          <w:szCs w:val="24"/>
          <w:lang w:val="bg-BG"/>
        </w:rPr>
      </w:pPr>
      <w:r>
        <w:rPr>
          <w:rFonts w:ascii="Times New Roman" w:hAnsi="Times New Roman"/>
          <w:sz w:val="24"/>
          <w:szCs w:val="24"/>
          <w:lang w:val="bg-BG"/>
        </w:rPr>
        <w:t>Във връзка с гореизложеното Управляващия орган предлага увеличаване на нивата на подпомагане по интервенцията, в съответствие с извършените изчисления от външен изпълнител.</w:t>
      </w:r>
    </w:p>
    <w:p w:rsidR="004C3FBB" w:rsidRDefault="004C3FBB" w:rsidP="000A60B4">
      <w:pPr>
        <w:pStyle w:val="Heading1"/>
        <w:numPr>
          <w:ilvl w:val="0"/>
          <w:numId w:val="5"/>
        </w:numPr>
        <w:jc w:val="both"/>
        <w:rPr>
          <w:rFonts w:ascii="Times New Roman" w:hAnsi="Times New Roman" w:cs="Times New Roman"/>
          <w:b/>
          <w:color w:val="auto"/>
          <w:sz w:val="24"/>
          <w:szCs w:val="24"/>
          <w:lang w:val="bg-BG"/>
        </w:rPr>
      </w:pPr>
      <w:r w:rsidRPr="000A60B4">
        <w:rPr>
          <w:rFonts w:ascii="Times New Roman" w:hAnsi="Times New Roman" w:cs="Times New Roman"/>
          <w:b/>
          <w:color w:val="auto"/>
          <w:sz w:val="24"/>
          <w:szCs w:val="24"/>
          <w:lang w:val="bg-BG"/>
        </w:rPr>
        <w:t>Промени в интервенции „Биологично растениевъдство“ и „Биологично пчеларство“</w:t>
      </w:r>
    </w:p>
    <w:p w:rsidR="00267642" w:rsidRPr="00267642" w:rsidRDefault="00267642" w:rsidP="00267642">
      <w:pPr>
        <w:rPr>
          <w:lang w:val="bg-BG"/>
        </w:rPr>
      </w:pPr>
    </w:p>
    <w:p w:rsidR="004C3FBB" w:rsidRPr="004C3FBB" w:rsidRDefault="004C3FBB" w:rsidP="004C3FBB">
      <w:pPr>
        <w:jc w:val="both"/>
        <w:rPr>
          <w:rFonts w:ascii="Times New Roman" w:hAnsi="Times New Roman" w:cs="Times New Roman"/>
          <w:sz w:val="24"/>
          <w:szCs w:val="24"/>
          <w:u w:val="single"/>
          <w:lang w:val="bg-BG"/>
        </w:rPr>
      </w:pPr>
      <w:r w:rsidRPr="004C3FBB">
        <w:rPr>
          <w:rFonts w:ascii="Times New Roman" w:hAnsi="Times New Roman" w:cs="Times New Roman"/>
          <w:sz w:val="24"/>
          <w:szCs w:val="24"/>
          <w:u w:val="single"/>
          <w:lang w:val="bg-BG"/>
        </w:rPr>
        <w:t>4.1. Продължителност на ангажиментите</w:t>
      </w:r>
    </w:p>
    <w:p w:rsidR="004C3FBB" w:rsidRDefault="004C3FBB" w:rsidP="004C3FBB">
      <w:pPr>
        <w:jc w:val="both"/>
        <w:rPr>
          <w:rFonts w:ascii="Times New Roman" w:hAnsi="Times New Roman" w:cs="Times New Roman"/>
          <w:sz w:val="24"/>
          <w:szCs w:val="24"/>
          <w:lang w:val="bg-BG"/>
        </w:rPr>
      </w:pPr>
      <w:r w:rsidRPr="005B2C2E">
        <w:rPr>
          <w:rFonts w:ascii="Times New Roman" w:hAnsi="Times New Roman" w:cs="Times New Roman"/>
          <w:sz w:val="24"/>
          <w:szCs w:val="24"/>
          <w:lang w:val="bg-BG"/>
        </w:rPr>
        <w:t xml:space="preserve">В параграф </w:t>
      </w:r>
      <w:r>
        <w:rPr>
          <w:rFonts w:ascii="Times New Roman" w:hAnsi="Times New Roman" w:cs="Times New Roman"/>
          <w:sz w:val="24"/>
          <w:szCs w:val="24"/>
          <w:lang w:val="bg-BG"/>
        </w:rPr>
        <w:t xml:space="preserve">6 </w:t>
      </w:r>
      <w:r w:rsidRPr="005B2C2E">
        <w:rPr>
          <w:rFonts w:ascii="Times New Roman" w:hAnsi="Times New Roman" w:cs="Times New Roman"/>
          <w:sz w:val="24"/>
          <w:szCs w:val="24"/>
          <w:lang w:val="bg-BG"/>
        </w:rPr>
        <w:t xml:space="preserve">на чл. 70 от </w:t>
      </w:r>
      <w:r w:rsidRPr="005B2C2E">
        <w:rPr>
          <w:rFonts w:ascii="Times New Roman" w:hAnsi="Times New Roman" w:cs="Times New Roman"/>
          <w:bCs/>
          <w:sz w:val="24"/>
          <w:szCs w:val="24"/>
          <w:lang w:val="bg-BG"/>
        </w:rPr>
        <w:t>Регламент</w:t>
      </w:r>
      <w:r>
        <w:rPr>
          <w:rFonts w:ascii="Times New Roman" w:hAnsi="Times New Roman" w:cs="Times New Roman"/>
          <w:bCs/>
          <w:sz w:val="24"/>
          <w:szCs w:val="24"/>
          <w:lang w:val="bg-BG"/>
        </w:rPr>
        <w:t xml:space="preserve"> </w:t>
      </w:r>
      <w:r w:rsidRPr="005B2C2E">
        <w:rPr>
          <w:rFonts w:ascii="Times New Roman" w:hAnsi="Times New Roman" w:cs="Times New Roman"/>
          <w:bCs/>
          <w:sz w:val="24"/>
          <w:szCs w:val="24"/>
          <w:lang w:val="bg-BG"/>
        </w:rPr>
        <w:t>(ЕС)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w:t>
      </w:r>
      <w:r w:rsidRPr="005B2C2E">
        <w:rPr>
          <w:rFonts w:ascii="Times New Roman" w:hAnsi="Times New Roman" w:cs="Times New Roman"/>
          <w:sz w:val="24"/>
          <w:szCs w:val="24"/>
          <w:lang w:val="bg-BG"/>
        </w:rPr>
        <w:t xml:space="preserve"> е посочено, че</w:t>
      </w:r>
      <w:r>
        <w:rPr>
          <w:rFonts w:ascii="Times New Roman" w:hAnsi="Times New Roman" w:cs="Times New Roman"/>
          <w:sz w:val="24"/>
          <w:szCs w:val="24"/>
          <w:lang w:val="bg-BG"/>
        </w:rPr>
        <w:t xml:space="preserve"> в надлежно обосновани случай, държавите членки могат да определят по-кратък период на ангажиментите в областта на околната среда и климата.</w:t>
      </w:r>
    </w:p>
    <w:p w:rsidR="004C3FBB" w:rsidRDefault="004C3FBB" w:rsidP="004C3FBB">
      <w:pPr>
        <w:jc w:val="both"/>
        <w:rPr>
          <w:rFonts w:ascii="Times New Roman" w:hAnsi="Times New Roman" w:cs="Times New Roman"/>
          <w:sz w:val="24"/>
          <w:szCs w:val="24"/>
          <w:lang w:val="bg-BG"/>
        </w:rPr>
      </w:pPr>
      <w:r>
        <w:rPr>
          <w:rFonts w:ascii="Times New Roman" w:hAnsi="Times New Roman" w:cs="Times New Roman"/>
          <w:sz w:val="24"/>
          <w:szCs w:val="24"/>
          <w:lang w:val="bg-BG"/>
        </w:rPr>
        <w:t>В тази връзка и с оглед на факта, че 2025 г. е средата на програмния период за прилагане на Стратегическия план</w:t>
      </w:r>
      <w:r>
        <w:rPr>
          <w:rFonts w:ascii="Times New Roman" w:hAnsi="Times New Roman" w:cs="Times New Roman"/>
          <w:sz w:val="24"/>
          <w:szCs w:val="24"/>
        </w:rPr>
        <w:t xml:space="preserve"> 2023-2027 </w:t>
      </w:r>
      <w:r>
        <w:rPr>
          <w:rFonts w:ascii="Times New Roman" w:hAnsi="Times New Roman" w:cs="Times New Roman"/>
          <w:sz w:val="24"/>
          <w:szCs w:val="24"/>
          <w:lang w:val="bg-BG"/>
        </w:rPr>
        <w:t xml:space="preserve">г., Управляващият орган на СП предлага новите ангажименти, които ще се поемат по интервенциите </w:t>
      </w:r>
      <w:r w:rsidRPr="002B4F02">
        <w:rPr>
          <w:rFonts w:ascii="Times New Roman" w:hAnsi="Times New Roman" w:cs="Times New Roman"/>
          <w:sz w:val="24"/>
          <w:szCs w:val="24"/>
          <w:lang w:val="bg-BG"/>
        </w:rPr>
        <w:t>„Биологично растениевъдство“ и „Биологично пчеларство“</w:t>
      </w:r>
      <w:r>
        <w:rPr>
          <w:rFonts w:ascii="Times New Roman" w:hAnsi="Times New Roman" w:cs="Times New Roman"/>
          <w:sz w:val="24"/>
          <w:szCs w:val="24"/>
          <w:lang w:val="bg-BG"/>
        </w:rPr>
        <w:t xml:space="preserve"> през 2026  г. да са с продължителност до 3 г. По този начин, ще се осигури необходимото финансиране до края на програмния период за земеделските стопани, които поемат нови ангажименти по двете интервенции.</w:t>
      </w:r>
    </w:p>
    <w:p w:rsidR="004C3FBB" w:rsidRDefault="004C3FBB" w:rsidP="004C3FBB">
      <w:pPr>
        <w:jc w:val="both"/>
        <w:rPr>
          <w:rFonts w:ascii="Times New Roman" w:hAnsi="Times New Roman" w:cs="Times New Roman"/>
          <w:sz w:val="24"/>
          <w:szCs w:val="24"/>
          <w:lang w:val="bg-BG"/>
        </w:rPr>
      </w:pPr>
      <w:r w:rsidRPr="00664576">
        <w:rPr>
          <w:rFonts w:ascii="Times New Roman" w:hAnsi="Times New Roman" w:cs="Times New Roman"/>
          <w:sz w:val="24"/>
          <w:szCs w:val="24"/>
          <w:lang w:val="bg-BG"/>
        </w:rPr>
        <w:t xml:space="preserve">Тази промяна ще спомогне да се постигнат поставените цели, заложени в Стратегията на ЕС за биологичното разнообразие до 2030 г. и стратегията от „Фермата до трапезата“.  Съгласно Националния план за действие за развитие на биологичното производство до 2030 г. утвърден  със Заповед № РД 08-7/20.02.2025 г. на министъра на земеделието и храните, до </w:t>
      </w:r>
      <w:r w:rsidRPr="00664576">
        <w:rPr>
          <w:rFonts w:ascii="Times New Roman" w:hAnsi="Times New Roman" w:cs="Times New Roman"/>
          <w:sz w:val="24"/>
          <w:szCs w:val="24"/>
          <w:lang w:val="bg-BG"/>
        </w:rPr>
        <w:lastRenderedPageBreak/>
        <w:t>2025 г. площите в система на контрол е заложено да нараснат с 5% (252 877 ха), а към 2027 г. да достигнат до 6,98% (354 279 ха) от ИЗП</w:t>
      </w:r>
      <w:r>
        <w:rPr>
          <w:rFonts w:ascii="Times New Roman" w:hAnsi="Times New Roman" w:cs="Times New Roman"/>
          <w:sz w:val="24"/>
          <w:szCs w:val="24"/>
          <w:lang w:val="bg-BG"/>
        </w:rPr>
        <w:t>.</w:t>
      </w:r>
    </w:p>
    <w:p w:rsidR="004C3FBB" w:rsidRPr="004C3FBB" w:rsidRDefault="004C3FBB" w:rsidP="004C3FBB">
      <w:pPr>
        <w:spacing w:after="200" w:line="276" w:lineRule="auto"/>
        <w:jc w:val="both"/>
        <w:rPr>
          <w:rFonts w:ascii="Times New Roman" w:eastAsia="Calibri" w:hAnsi="Times New Roman" w:cs="Times New Roman"/>
          <w:sz w:val="24"/>
          <w:szCs w:val="24"/>
          <w:u w:val="single"/>
          <w:lang w:val="bg-BG"/>
        </w:rPr>
      </w:pPr>
      <w:r w:rsidRPr="004C3FBB">
        <w:rPr>
          <w:rFonts w:ascii="Times New Roman" w:eastAsia="Calibri" w:hAnsi="Times New Roman" w:cs="Times New Roman"/>
          <w:sz w:val="24"/>
          <w:szCs w:val="24"/>
          <w:u w:val="single"/>
          <w:lang w:val="bg-BG"/>
        </w:rPr>
        <w:t>4.2. Реалокиране на средства в областта на биологичното земеделие</w:t>
      </w:r>
    </w:p>
    <w:p w:rsidR="004C3FBB" w:rsidRPr="00F34957" w:rsidRDefault="004C3FBB" w:rsidP="004C3FBB">
      <w:pPr>
        <w:spacing w:after="200" w:line="276" w:lineRule="auto"/>
        <w:jc w:val="both"/>
        <w:rPr>
          <w:rFonts w:ascii="Times New Roman" w:eastAsia="Calibri" w:hAnsi="Times New Roman" w:cs="Times New Roman"/>
          <w:sz w:val="24"/>
          <w:szCs w:val="24"/>
          <w:lang w:val="bg-BG"/>
        </w:rPr>
      </w:pPr>
      <w:r w:rsidRPr="00F34957">
        <w:rPr>
          <w:rFonts w:ascii="Times New Roman" w:eastAsia="Calibri" w:hAnsi="Times New Roman" w:cs="Times New Roman"/>
          <w:sz w:val="24"/>
          <w:szCs w:val="24"/>
          <w:lang w:val="bg-BG"/>
        </w:rPr>
        <w:t>Бюджетът по интервенция</w:t>
      </w:r>
      <w:r>
        <w:rPr>
          <w:rFonts w:ascii="Times New Roman" w:eastAsia="Calibri" w:hAnsi="Times New Roman" w:cs="Times New Roman"/>
          <w:sz w:val="24"/>
          <w:szCs w:val="24"/>
          <w:lang w:val="bg-BG"/>
        </w:rPr>
        <w:t xml:space="preserve"> „Биологично растениевъдство“ до момента </w:t>
      </w:r>
      <w:r w:rsidRPr="00F34957">
        <w:rPr>
          <w:rFonts w:ascii="Times New Roman" w:eastAsia="Calibri" w:hAnsi="Times New Roman" w:cs="Times New Roman"/>
          <w:sz w:val="24"/>
          <w:szCs w:val="24"/>
          <w:lang w:val="bg-BG"/>
        </w:rPr>
        <w:t>е в размер на 356 378 525 евро, като към 30.06.2025 г. от него са изплатени средства на стойност 39 320 92</w:t>
      </w:r>
      <w:r>
        <w:rPr>
          <w:rFonts w:ascii="Times New Roman" w:eastAsia="Calibri" w:hAnsi="Times New Roman" w:cs="Times New Roman"/>
          <w:sz w:val="24"/>
          <w:szCs w:val="24"/>
          <w:lang w:val="bg-BG"/>
        </w:rPr>
        <w:t>9</w:t>
      </w:r>
      <w:r w:rsidRPr="00F34957">
        <w:rPr>
          <w:rFonts w:ascii="Times New Roman" w:eastAsia="Calibri" w:hAnsi="Times New Roman" w:cs="Times New Roman"/>
          <w:sz w:val="24"/>
          <w:szCs w:val="24"/>
          <w:lang w:val="bg-BG"/>
        </w:rPr>
        <w:t>.37 евро, което представлява 11,03% от общия бюджет.</w:t>
      </w:r>
    </w:p>
    <w:p w:rsidR="004C3FBB" w:rsidRPr="00F34957" w:rsidRDefault="004C3FBB" w:rsidP="004C3FBB">
      <w:pPr>
        <w:spacing w:after="200" w:line="276" w:lineRule="auto"/>
        <w:jc w:val="both"/>
        <w:rPr>
          <w:rFonts w:ascii="Times New Roman" w:eastAsia="Calibri" w:hAnsi="Times New Roman" w:cs="Times New Roman"/>
          <w:sz w:val="24"/>
          <w:szCs w:val="24"/>
          <w:lang w:val="bg-BG"/>
        </w:rPr>
      </w:pPr>
      <w:r w:rsidRPr="00F34957">
        <w:rPr>
          <w:rFonts w:ascii="Times New Roman" w:eastAsia="Calibri" w:hAnsi="Times New Roman" w:cs="Times New Roman"/>
          <w:sz w:val="24"/>
          <w:szCs w:val="24"/>
          <w:lang w:val="bg-BG"/>
        </w:rPr>
        <w:t>Въз основа на получени предложения от браншови организации, при подготовка на трето изменение</w:t>
      </w:r>
      <w:r>
        <w:rPr>
          <w:rFonts w:ascii="Times New Roman" w:eastAsia="Calibri" w:hAnsi="Times New Roman" w:cs="Times New Roman"/>
          <w:sz w:val="24"/>
          <w:szCs w:val="24"/>
          <w:lang w:val="bg-BG"/>
        </w:rPr>
        <w:t xml:space="preserve"> </w:t>
      </w:r>
      <w:r w:rsidRPr="00F34957">
        <w:rPr>
          <w:rFonts w:ascii="Times New Roman" w:eastAsia="Calibri" w:hAnsi="Times New Roman" w:cs="Times New Roman"/>
          <w:sz w:val="24"/>
          <w:szCs w:val="24"/>
          <w:lang w:val="bg-BG"/>
        </w:rPr>
        <w:t xml:space="preserve">на Стратегическия план е направен анализ за наличните средства по интервенцията и възможностите за увеличаване на средното ниво на дегресивните ставки за всички групи култури от 50% на 70%.  При изчисленията е предвиден ежегоден ръст от 50% на подпомаганите площи в период на преход и 10% за биологични площи, както е отчетено и предложеното увеличение на средни нива на дегресивните ставки. </w:t>
      </w:r>
    </w:p>
    <w:p w:rsidR="004C3FBB" w:rsidRPr="00F34957" w:rsidRDefault="004C3FBB" w:rsidP="004C3FBB">
      <w:pPr>
        <w:spacing w:after="200" w:line="276" w:lineRule="auto"/>
        <w:jc w:val="both"/>
        <w:rPr>
          <w:rFonts w:ascii="Times New Roman" w:eastAsia="Calibri" w:hAnsi="Times New Roman" w:cs="Times New Roman"/>
          <w:sz w:val="24"/>
          <w:szCs w:val="24"/>
          <w:lang w:val="bg-BG"/>
        </w:rPr>
      </w:pPr>
      <w:r w:rsidRPr="00F34957">
        <w:rPr>
          <w:rFonts w:ascii="Times New Roman" w:eastAsia="Calibri" w:hAnsi="Times New Roman" w:cs="Times New Roman"/>
          <w:sz w:val="24"/>
          <w:szCs w:val="24"/>
          <w:lang w:val="bg-BG"/>
        </w:rPr>
        <w:t>Данните от анализа показват, че до края на програмния период за интервенция „Биологично растениевъдство“ ще са необходими средства в размер на приблизително 225 000 000 евро.</w:t>
      </w:r>
      <w:r w:rsidRPr="00F34957">
        <w:rPr>
          <w:rFonts w:ascii="Times New Roman" w:eastAsia="Calibri" w:hAnsi="Times New Roman" w:cs="Times New Roman"/>
          <w:sz w:val="24"/>
          <w:szCs w:val="24"/>
        </w:rPr>
        <w:t xml:space="preserve"> </w:t>
      </w:r>
      <w:r w:rsidRPr="00F34957">
        <w:rPr>
          <w:rFonts w:ascii="Times New Roman" w:eastAsia="Calibri" w:hAnsi="Times New Roman" w:cs="Times New Roman"/>
          <w:sz w:val="24"/>
          <w:szCs w:val="24"/>
          <w:lang w:val="bg-BG"/>
        </w:rPr>
        <w:t xml:space="preserve">В тази сума са включени изплатените към 30.06.2025 г. средства по интервенцията, както и прогнозният ръст на площите, които ще бъдат обхванати от ангажименти.  </w:t>
      </w:r>
    </w:p>
    <w:p w:rsidR="004C3FBB" w:rsidRPr="00F34957" w:rsidRDefault="004C3FBB" w:rsidP="004C3FBB">
      <w:pPr>
        <w:spacing w:after="200" w:line="276" w:lineRule="auto"/>
        <w:jc w:val="both"/>
        <w:rPr>
          <w:rFonts w:ascii="Times New Roman" w:eastAsia="Calibri" w:hAnsi="Times New Roman" w:cs="Times New Roman"/>
          <w:sz w:val="24"/>
          <w:szCs w:val="24"/>
          <w:lang w:val="bg-BG"/>
        </w:rPr>
      </w:pPr>
      <w:r w:rsidRPr="00F34957">
        <w:rPr>
          <w:rFonts w:ascii="Times New Roman" w:eastAsia="Calibri" w:hAnsi="Times New Roman" w:cs="Times New Roman"/>
          <w:sz w:val="24"/>
          <w:szCs w:val="24"/>
          <w:lang w:val="bg-BG"/>
        </w:rPr>
        <w:t xml:space="preserve">Във връзка с постъпило предложение за преминаване на подпомагането за биологично животновъдство във втори стълб и отчитането на факта, че 2025 г. е средата на програмния период, би могло да бъде създадена нова интервенция „Биологично животновъдство“ с поемане на 3 годишни ангажименти. Очаква се по новата интервенция да участват земеделските стопани, които до момента са кандидатствали по еко схема за биологично земеделие (селскостопански животни).  </w:t>
      </w:r>
    </w:p>
    <w:p w:rsidR="004C3FBB" w:rsidRPr="00F34957" w:rsidRDefault="004C3FBB" w:rsidP="004C3FBB">
      <w:pPr>
        <w:spacing w:after="200" w:line="276" w:lineRule="auto"/>
        <w:jc w:val="both"/>
        <w:rPr>
          <w:rFonts w:ascii="Times New Roman" w:eastAsia="Calibri" w:hAnsi="Times New Roman" w:cs="Times New Roman"/>
          <w:sz w:val="24"/>
          <w:szCs w:val="24"/>
          <w:lang w:val="bg-BG"/>
        </w:rPr>
      </w:pPr>
      <w:r w:rsidRPr="00F34957">
        <w:rPr>
          <w:rFonts w:ascii="Times New Roman" w:eastAsia="Calibri" w:hAnsi="Times New Roman" w:cs="Times New Roman"/>
          <w:sz w:val="24"/>
          <w:szCs w:val="24"/>
          <w:lang w:val="bg-BG"/>
        </w:rPr>
        <w:t>Изплатените средства за кампании 2024 г. по еко схема за биологично животновъдство са в размер на 26 392 963 евро. При отчитане на този размер и прилагането на 3 годишни ангажименти във Втори стълб, би могло да се допусне, че общо ще са необходими средства в размер до 85 млн. евро. В тези средства е предвидена и възможност за включване и на земеделски стопани, които до момента не са получавали подпомагане по еко схемата.</w:t>
      </w:r>
    </w:p>
    <w:p w:rsidR="00901375" w:rsidRPr="00467D90" w:rsidRDefault="004C3FBB" w:rsidP="004C3FBB">
      <w:pPr>
        <w:jc w:val="both"/>
        <w:rPr>
          <w:rFonts w:ascii="Times New Roman" w:hAnsi="Times New Roman"/>
          <w:sz w:val="24"/>
          <w:szCs w:val="24"/>
        </w:rPr>
      </w:pPr>
      <w:r>
        <w:rPr>
          <w:rFonts w:ascii="Times New Roman" w:hAnsi="Times New Roman" w:cs="Times New Roman"/>
          <w:sz w:val="24"/>
          <w:szCs w:val="24"/>
          <w:lang w:val="bg-BG"/>
        </w:rPr>
        <w:t>В тази връзка, след изв</w:t>
      </w:r>
      <w:r w:rsidR="00267642">
        <w:rPr>
          <w:rFonts w:ascii="Times New Roman" w:hAnsi="Times New Roman" w:cs="Times New Roman"/>
          <w:sz w:val="24"/>
          <w:szCs w:val="24"/>
          <w:lang w:val="bg-BG"/>
        </w:rPr>
        <w:t>е</w:t>
      </w:r>
      <w:r>
        <w:rPr>
          <w:rFonts w:ascii="Times New Roman" w:hAnsi="Times New Roman" w:cs="Times New Roman"/>
          <w:sz w:val="24"/>
          <w:szCs w:val="24"/>
          <w:lang w:val="bg-BG"/>
        </w:rPr>
        <w:t xml:space="preserve">ждане на общо публични средства в размер на 85 млн. евро, разполагаемият бюджет на интервенция „Биологично растениевъдство“ остава  в размер на 271 378 585 евро и ще бъде достатъчен за покриване на всички ангажименти по нея </w:t>
      </w:r>
      <w:r>
        <w:rPr>
          <w:rFonts w:ascii="Times New Roman" w:hAnsi="Times New Roman" w:cs="Times New Roman"/>
          <w:sz w:val="24"/>
          <w:szCs w:val="24"/>
        </w:rPr>
        <w:t>(</w:t>
      </w:r>
      <w:r>
        <w:rPr>
          <w:rFonts w:ascii="Times New Roman" w:hAnsi="Times New Roman" w:cs="Times New Roman"/>
          <w:sz w:val="24"/>
          <w:szCs w:val="24"/>
          <w:lang w:val="bg-BG"/>
        </w:rPr>
        <w:t>текущи и новопоети</w:t>
      </w:r>
      <w:r>
        <w:rPr>
          <w:rFonts w:ascii="Times New Roman" w:hAnsi="Times New Roman" w:cs="Times New Roman"/>
          <w:sz w:val="24"/>
          <w:szCs w:val="24"/>
        </w:rPr>
        <w:t>)</w:t>
      </w:r>
      <w:r>
        <w:rPr>
          <w:rFonts w:ascii="Times New Roman" w:hAnsi="Times New Roman" w:cs="Times New Roman"/>
          <w:sz w:val="24"/>
          <w:szCs w:val="24"/>
          <w:lang w:val="bg-BG"/>
        </w:rPr>
        <w:t xml:space="preserve">.  </w:t>
      </w:r>
      <w:r w:rsidR="00901375">
        <w:rPr>
          <w:rFonts w:ascii="Times New Roman" w:hAnsi="Times New Roman"/>
          <w:sz w:val="24"/>
          <w:szCs w:val="24"/>
          <w:lang w:val="bg-BG"/>
        </w:rPr>
        <w:t xml:space="preserve"> </w:t>
      </w:r>
    </w:p>
    <w:p w:rsidR="000A60B4" w:rsidRPr="00267642" w:rsidRDefault="00267642" w:rsidP="00267642">
      <w:pPr>
        <w:spacing w:after="200" w:line="276" w:lineRule="auto"/>
        <w:jc w:val="both"/>
        <w:rPr>
          <w:rFonts w:ascii="Times New Roman" w:eastAsia="Calibri" w:hAnsi="Times New Roman" w:cs="Times New Roman"/>
          <w:sz w:val="24"/>
          <w:szCs w:val="24"/>
          <w:u w:val="single"/>
          <w:lang w:val="bg-BG"/>
        </w:rPr>
      </w:pPr>
      <w:r w:rsidRPr="00267642">
        <w:rPr>
          <w:rFonts w:ascii="Times New Roman" w:eastAsia="Calibri" w:hAnsi="Times New Roman" w:cs="Times New Roman"/>
          <w:sz w:val="24"/>
          <w:szCs w:val="24"/>
          <w:u w:val="single"/>
          <w:lang w:val="bg-BG"/>
        </w:rPr>
        <w:t xml:space="preserve">4.3. </w:t>
      </w:r>
      <w:r w:rsidR="000A60B4" w:rsidRPr="00267642">
        <w:rPr>
          <w:rFonts w:ascii="Times New Roman" w:eastAsia="Calibri" w:hAnsi="Times New Roman" w:cs="Times New Roman"/>
          <w:sz w:val="24"/>
          <w:szCs w:val="24"/>
          <w:u w:val="single"/>
          <w:lang w:val="bg-BG"/>
        </w:rPr>
        <w:t>Предложение за създаване на нова интервенция „Биологично животновъдство“  по чл. 70 от Регламент (ЕС) 2021/2115</w:t>
      </w:r>
    </w:p>
    <w:p w:rsidR="000A60B4" w:rsidRDefault="000A60B4" w:rsidP="000A60B4">
      <w:pPr>
        <w:jc w:val="both"/>
        <w:rPr>
          <w:rFonts w:ascii="Times New Roman" w:hAnsi="Times New Roman" w:cs="Times New Roman"/>
          <w:sz w:val="24"/>
          <w:szCs w:val="24"/>
          <w:lang w:val="bg-BG"/>
        </w:rPr>
      </w:pPr>
      <w:r w:rsidRPr="00FD5842">
        <w:rPr>
          <w:rFonts w:ascii="Times New Roman" w:hAnsi="Times New Roman" w:cs="Times New Roman"/>
          <w:sz w:val="24"/>
          <w:szCs w:val="24"/>
          <w:lang w:val="bg-BG"/>
        </w:rPr>
        <w:t>За периода 2023-2025 г. се наблюдава</w:t>
      </w:r>
      <w:r>
        <w:rPr>
          <w:rFonts w:ascii="Times New Roman" w:hAnsi="Times New Roman" w:cs="Times New Roman"/>
          <w:sz w:val="24"/>
          <w:szCs w:val="24"/>
          <w:lang w:val="bg-BG"/>
        </w:rPr>
        <w:t>ше</w:t>
      </w:r>
      <w:r w:rsidRPr="00FD5842">
        <w:rPr>
          <w:rFonts w:ascii="Times New Roman" w:hAnsi="Times New Roman" w:cs="Times New Roman"/>
          <w:sz w:val="24"/>
          <w:szCs w:val="24"/>
          <w:lang w:val="bg-BG"/>
        </w:rPr>
        <w:t xml:space="preserve"> трайна тенденция на увеличение на земеделските стопани, които кандидатстват по еко схемите в директните плащания. Най-съществено е увеличението в заявленията по Еко схемата за биологично земеделие (селскостопански </w:t>
      </w:r>
      <w:r w:rsidRPr="00FD5842">
        <w:rPr>
          <w:rFonts w:ascii="Times New Roman" w:hAnsi="Times New Roman" w:cs="Times New Roman"/>
          <w:sz w:val="24"/>
          <w:szCs w:val="24"/>
          <w:lang w:val="bg-BG"/>
        </w:rPr>
        <w:lastRenderedPageBreak/>
        <w:t xml:space="preserve">животни) (Еко-БЖ), които през третата година на прилагане се увеличават значително в сравнение с първата година на въвеждане на еко схемата. През 2023 г. броят на заявленията по Еко-БЖ е 111, като през следващата година земеделските стопани заявили тази интервенция стават 339 и през 2025 г. нарастват до 532. По всички еко схеми има значително разширяване в географския обхват на декларираните площи. Най-съществено е увеличението в площите по Еко схемата за биологично земеделие (селскостопански животни) (Еко-БЖ). През 2023 г. заявените площи по Еко схемата за биологично земеделие (селскостопански животни) (Еко-БЖ) са 12 270.87 ха и следващата година нарастват до 40 217.73 ха и достигат 69 623.87 ха през 2025 г., което дава основание за препоръка за преместване на тази еко схема в рамките на Втори стълб, тъй като бюджетните възможности в директните плащания не биха позволили запазването на единичните ставки за биологичното животновъдство в рамките на еко схемите в директните плащания. </w:t>
      </w:r>
    </w:p>
    <w:p w:rsidR="000A60B4" w:rsidRPr="00FD5842" w:rsidRDefault="000A60B4" w:rsidP="000A60B4">
      <w:pPr>
        <w:jc w:val="both"/>
        <w:rPr>
          <w:rFonts w:ascii="Times New Roman" w:hAnsi="Times New Roman" w:cs="Times New Roman"/>
          <w:sz w:val="24"/>
          <w:szCs w:val="24"/>
          <w:lang w:val="bg-BG"/>
        </w:rPr>
      </w:pPr>
      <w:r w:rsidRPr="00FD5842">
        <w:rPr>
          <w:rFonts w:ascii="Times New Roman" w:hAnsi="Times New Roman" w:cs="Times New Roman"/>
          <w:sz w:val="24"/>
          <w:szCs w:val="24"/>
          <w:lang w:val="bg-BG"/>
        </w:rPr>
        <w:t>Предвид бюджетните ограничения, които произтичат от нарастването на площите по еко схемите за кампания 2025 не би имало възможност да се запази единичното ниво на подпомагане до размера на планираното, което е предпоставка за преместването на тази интервенция от директните плащания с цел осигуряването на нивото на необходимото финансиране за биологичните животновъди с оглед постигането на целта за увеличаване на биологичните площи в страната.</w:t>
      </w:r>
    </w:p>
    <w:p w:rsidR="000A60B4" w:rsidRPr="00FD5842" w:rsidRDefault="000A60B4" w:rsidP="000A60B4">
      <w:pPr>
        <w:jc w:val="both"/>
        <w:rPr>
          <w:rFonts w:ascii="Times New Roman" w:hAnsi="Times New Roman" w:cs="Times New Roman"/>
          <w:sz w:val="24"/>
          <w:szCs w:val="24"/>
          <w:lang w:val="bg-BG"/>
        </w:rPr>
      </w:pPr>
      <w:r w:rsidRPr="00FD5842">
        <w:rPr>
          <w:rFonts w:ascii="Times New Roman" w:hAnsi="Times New Roman" w:cs="Times New Roman"/>
          <w:sz w:val="24"/>
          <w:szCs w:val="24"/>
          <w:lang w:val="bg-BG"/>
        </w:rPr>
        <w:t>Бюджетът, досега разпределен по тази еко схема</w:t>
      </w:r>
      <w:r>
        <w:rPr>
          <w:rFonts w:ascii="Times New Roman" w:hAnsi="Times New Roman" w:cs="Times New Roman"/>
          <w:sz w:val="24"/>
          <w:szCs w:val="24"/>
        </w:rPr>
        <w:t>,</w:t>
      </w:r>
      <w:r w:rsidRPr="00FD5842">
        <w:rPr>
          <w:rFonts w:ascii="Times New Roman" w:hAnsi="Times New Roman" w:cs="Times New Roman"/>
          <w:sz w:val="24"/>
          <w:szCs w:val="24"/>
          <w:lang w:val="bg-BG"/>
        </w:rPr>
        <w:t xml:space="preserve"> се запазва в рамките на еко схемите в директните плащания с цел запазване непроменен общия бюджет за всички еко схеми в директните плащания. С това се запазва минималният дял, който се изисква съгласно законодателството от 25% от директните плащания за еко схемите. Този бюджет се планира да бъде разпределен между еко схеми, които не са достигнали пълния размер на компенсаторната ставка в съответствие с екологичните дейности.</w:t>
      </w:r>
    </w:p>
    <w:p w:rsidR="000A60B4" w:rsidRDefault="000A60B4" w:rsidP="000A60B4">
      <w:pPr>
        <w:jc w:val="both"/>
        <w:rPr>
          <w:rFonts w:ascii="Times New Roman" w:hAnsi="Times New Roman" w:cs="Times New Roman"/>
          <w:sz w:val="24"/>
          <w:szCs w:val="24"/>
          <w:lang w:val="bg-BG"/>
        </w:rPr>
      </w:pPr>
      <w:r>
        <w:rPr>
          <w:rFonts w:ascii="Times New Roman" w:hAnsi="Times New Roman" w:cs="Times New Roman"/>
          <w:sz w:val="24"/>
          <w:szCs w:val="24"/>
          <w:lang w:val="bg-BG"/>
        </w:rPr>
        <w:t>Предложената нова интервенция „Биологично животновъдство“ ще бъде част от интервенциите в областта на околната среда и климата по чл. 70 от Регламент (ЕС) 2021/2115, като п</w:t>
      </w:r>
      <w:r w:rsidRPr="00F82616">
        <w:rPr>
          <w:rFonts w:ascii="Times New Roman" w:hAnsi="Times New Roman" w:cs="Times New Roman"/>
          <w:sz w:val="24"/>
          <w:szCs w:val="24"/>
          <w:lang w:val="bg-BG"/>
        </w:rPr>
        <w:t xml:space="preserve">реминаването на подпомагането за биологичното животновъдство от </w:t>
      </w:r>
      <w:r>
        <w:rPr>
          <w:rFonts w:ascii="Times New Roman" w:hAnsi="Times New Roman" w:cs="Times New Roman"/>
          <w:sz w:val="24"/>
          <w:szCs w:val="24"/>
          <w:lang w:val="bg-BG"/>
        </w:rPr>
        <w:t>Първи стълб</w:t>
      </w:r>
      <w:r w:rsidRPr="00F82616">
        <w:rPr>
          <w:rFonts w:ascii="Times New Roman" w:hAnsi="Times New Roman" w:cs="Times New Roman"/>
          <w:sz w:val="24"/>
          <w:szCs w:val="24"/>
          <w:lang w:val="bg-BG"/>
        </w:rPr>
        <w:t xml:space="preserve"> към </w:t>
      </w:r>
      <w:r>
        <w:rPr>
          <w:rFonts w:ascii="Times New Roman" w:hAnsi="Times New Roman" w:cs="Times New Roman"/>
          <w:sz w:val="24"/>
          <w:szCs w:val="24"/>
          <w:lang w:val="bg-BG"/>
        </w:rPr>
        <w:t>Втори с</w:t>
      </w:r>
      <w:r w:rsidRPr="00F82616">
        <w:rPr>
          <w:rFonts w:ascii="Times New Roman" w:hAnsi="Times New Roman" w:cs="Times New Roman"/>
          <w:sz w:val="24"/>
          <w:szCs w:val="24"/>
          <w:lang w:val="bg-BG"/>
        </w:rPr>
        <w:t xml:space="preserve">тълб по същество не променя целите на досега прилаганата еко схема. </w:t>
      </w:r>
      <w:r>
        <w:rPr>
          <w:rFonts w:ascii="Times New Roman" w:hAnsi="Times New Roman" w:cs="Times New Roman"/>
          <w:sz w:val="24"/>
          <w:szCs w:val="24"/>
          <w:lang w:val="bg-BG"/>
        </w:rPr>
        <w:t xml:space="preserve"> </w:t>
      </w:r>
    </w:p>
    <w:p w:rsidR="000A60B4" w:rsidRPr="00FD5842" w:rsidRDefault="000A60B4" w:rsidP="000A60B4">
      <w:pPr>
        <w:jc w:val="both"/>
        <w:rPr>
          <w:rFonts w:ascii="Times New Roman" w:hAnsi="Times New Roman" w:cs="Times New Roman"/>
          <w:sz w:val="24"/>
          <w:szCs w:val="24"/>
          <w:lang w:val="bg-BG"/>
        </w:rPr>
      </w:pPr>
      <w:r w:rsidRPr="00FD5842">
        <w:rPr>
          <w:rFonts w:ascii="Times New Roman" w:hAnsi="Times New Roman" w:cs="Times New Roman"/>
          <w:sz w:val="24"/>
          <w:szCs w:val="24"/>
          <w:lang w:val="bg-BG"/>
        </w:rPr>
        <w:t xml:space="preserve">В предложението за нова интервенция са запазени специфичните цели, които са се прилагали и до момента, а именно: </w:t>
      </w:r>
    </w:p>
    <w:p w:rsidR="000A60B4" w:rsidRPr="00FD5842" w:rsidRDefault="000A60B4" w:rsidP="000A60B4">
      <w:pPr>
        <w:numPr>
          <w:ilvl w:val="0"/>
          <w:numId w:val="3"/>
        </w:numPr>
        <w:jc w:val="both"/>
        <w:rPr>
          <w:rFonts w:ascii="Times New Roman" w:hAnsi="Times New Roman" w:cs="Times New Roman"/>
          <w:sz w:val="24"/>
          <w:szCs w:val="24"/>
          <w:lang w:val="bg-BG"/>
        </w:rPr>
      </w:pPr>
      <w:r w:rsidRPr="00FD5842">
        <w:rPr>
          <w:rFonts w:ascii="Times New Roman" w:hAnsi="Times New Roman" w:cs="Times New Roman"/>
          <w:b/>
          <w:sz w:val="24"/>
          <w:szCs w:val="24"/>
          <w:lang w:val="bg-BG"/>
        </w:rPr>
        <w:t>SO 4</w:t>
      </w:r>
      <w:r w:rsidRPr="00FD5842">
        <w:rPr>
          <w:rFonts w:ascii="Times New Roman" w:hAnsi="Times New Roman" w:cs="Times New Roman"/>
          <w:sz w:val="24"/>
          <w:szCs w:val="24"/>
          <w:lang w:val="bg-BG"/>
        </w:rPr>
        <w:t xml:space="preserve">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p w:rsidR="000A60B4" w:rsidRPr="00FD5842" w:rsidRDefault="000A60B4" w:rsidP="000A60B4">
      <w:pPr>
        <w:numPr>
          <w:ilvl w:val="0"/>
          <w:numId w:val="3"/>
        </w:numPr>
        <w:jc w:val="both"/>
        <w:rPr>
          <w:rFonts w:ascii="Times New Roman" w:hAnsi="Times New Roman" w:cs="Times New Roman"/>
          <w:sz w:val="24"/>
          <w:szCs w:val="24"/>
          <w:lang w:val="bg-BG"/>
        </w:rPr>
      </w:pPr>
      <w:r w:rsidRPr="00FD5842">
        <w:rPr>
          <w:rFonts w:ascii="Times New Roman" w:hAnsi="Times New Roman" w:cs="Times New Roman"/>
          <w:b/>
          <w:sz w:val="24"/>
          <w:szCs w:val="24"/>
          <w:lang w:val="bg-BG"/>
        </w:rPr>
        <w:t>SO 5</w:t>
      </w:r>
      <w:r w:rsidRPr="00FD5842">
        <w:rPr>
          <w:rFonts w:ascii="Times New Roman" w:hAnsi="Times New Roman" w:cs="Times New Roman"/>
          <w:sz w:val="24"/>
          <w:szCs w:val="24"/>
          <w:lang w:val="bg-BG"/>
        </w:rPr>
        <w:t xml:space="preserve">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p w:rsidR="000A60B4" w:rsidRPr="00FD5842" w:rsidRDefault="000A60B4" w:rsidP="000A60B4">
      <w:pPr>
        <w:numPr>
          <w:ilvl w:val="0"/>
          <w:numId w:val="3"/>
        </w:numPr>
        <w:jc w:val="both"/>
        <w:rPr>
          <w:rFonts w:ascii="Times New Roman" w:hAnsi="Times New Roman" w:cs="Times New Roman"/>
          <w:sz w:val="24"/>
          <w:szCs w:val="24"/>
          <w:lang w:val="bg-BG"/>
        </w:rPr>
      </w:pPr>
      <w:r w:rsidRPr="00FD5842">
        <w:rPr>
          <w:rFonts w:ascii="Times New Roman" w:hAnsi="Times New Roman" w:cs="Times New Roman"/>
          <w:b/>
          <w:sz w:val="24"/>
          <w:szCs w:val="24"/>
          <w:lang w:val="bg-BG"/>
        </w:rPr>
        <w:t>SO 6</w:t>
      </w:r>
      <w:r w:rsidRPr="00FD5842">
        <w:rPr>
          <w:rFonts w:ascii="Times New Roman" w:hAnsi="Times New Roman" w:cs="Times New Roman"/>
          <w:sz w:val="24"/>
          <w:szCs w:val="24"/>
          <w:lang w:val="bg-BG"/>
        </w:rPr>
        <w:t xml:space="preserve">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p w:rsidR="000A60B4" w:rsidRPr="00FD5842" w:rsidRDefault="000A60B4" w:rsidP="000A60B4">
      <w:pPr>
        <w:numPr>
          <w:ilvl w:val="0"/>
          <w:numId w:val="3"/>
        </w:numPr>
        <w:jc w:val="both"/>
        <w:rPr>
          <w:rFonts w:ascii="Times New Roman" w:hAnsi="Times New Roman" w:cs="Times New Roman"/>
          <w:sz w:val="24"/>
          <w:szCs w:val="24"/>
          <w:lang w:val="bg-BG"/>
        </w:rPr>
      </w:pPr>
      <w:r w:rsidRPr="00FD5842">
        <w:rPr>
          <w:rFonts w:ascii="Times New Roman" w:hAnsi="Times New Roman" w:cs="Times New Roman"/>
          <w:b/>
          <w:sz w:val="24"/>
          <w:szCs w:val="24"/>
          <w:lang w:val="bg-BG"/>
        </w:rPr>
        <w:lastRenderedPageBreak/>
        <w:t>SO 9</w:t>
      </w:r>
      <w:r w:rsidRPr="00FD5842">
        <w:rPr>
          <w:rFonts w:ascii="Times New Roman" w:hAnsi="Times New Roman" w:cs="Times New Roman"/>
          <w:sz w:val="24"/>
          <w:szCs w:val="24"/>
          <w:lang w:val="bg-BG"/>
        </w:rPr>
        <w:t xml:space="preserve">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p w:rsidR="000A60B4" w:rsidRPr="00FD5842" w:rsidRDefault="000A60B4" w:rsidP="000A60B4">
      <w:pPr>
        <w:jc w:val="both"/>
        <w:rPr>
          <w:rFonts w:ascii="Times New Roman" w:hAnsi="Times New Roman" w:cs="Times New Roman"/>
          <w:sz w:val="24"/>
          <w:szCs w:val="24"/>
          <w:lang w:val="bg-BG"/>
        </w:rPr>
      </w:pPr>
      <w:r w:rsidRPr="00FD5842">
        <w:rPr>
          <w:rFonts w:ascii="Times New Roman" w:hAnsi="Times New Roman" w:cs="Times New Roman"/>
          <w:sz w:val="24"/>
          <w:szCs w:val="24"/>
          <w:lang w:val="bg-BG"/>
        </w:rPr>
        <w:t xml:space="preserve">По </w:t>
      </w:r>
      <w:r>
        <w:rPr>
          <w:rFonts w:ascii="Times New Roman" w:hAnsi="Times New Roman" w:cs="Times New Roman"/>
          <w:sz w:val="24"/>
          <w:szCs w:val="24"/>
          <w:lang w:val="bg-BG"/>
        </w:rPr>
        <w:t xml:space="preserve">новата </w:t>
      </w:r>
      <w:r w:rsidRPr="00FD5842">
        <w:rPr>
          <w:rFonts w:ascii="Times New Roman" w:hAnsi="Times New Roman" w:cs="Times New Roman"/>
          <w:sz w:val="24"/>
          <w:szCs w:val="24"/>
          <w:lang w:val="bg-BG"/>
        </w:rPr>
        <w:t>интервенция</w:t>
      </w:r>
      <w:r>
        <w:rPr>
          <w:rFonts w:ascii="Times New Roman" w:hAnsi="Times New Roman" w:cs="Times New Roman"/>
          <w:sz w:val="24"/>
          <w:szCs w:val="24"/>
        </w:rPr>
        <w:t xml:space="preserve"> </w:t>
      </w:r>
      <w:r>
        <w:rPr>
          <w:rFonts w:ascii="Times New Roman" w:hAnsi="Times New Roman" w:cs="Times New Roman"/>
          <w:sz w:val="24"/>
          <w:szCs w:val="24"/>
          <w:lang w:val="bg-BG"/>
        </w:rPr>
        <w:t>„Биологично животновъдство“</w:t>
      </w:r>
      <w:r w:rsidRPr="00FD5842">
        <w:rPr>
          <w:rFonts w:ascii="Times New Roman" w:hAnsi="Times New Roman" w:cs="Times New Roman"/>
          <w:sz w:val="24"/>
          <w:szCs w:val="24"/>
          <w:lang w:val="bg-BG"/>
        </w:rPr>
        <w:t xml:space="preserve"> ще се подпомагат същите видове животни, както до момента по прилаганата еко схема, подпомагането ще продължи да се предоставя под формата на годишни плащания на хектар земеделска площ. Запазва се и изискването бенефициентите по интервенцията да спазват изискванията на Регламент (ЕС) 2018/848, като всички заявени площи и животни трябва да са в система на контрол.</w:t>
      </w:r>
    </w:p>
    <w:p w:rsidR="000A60B4" w:rsidRPr="00FD5842" w:rsidRDefault="000A60B4" w:rsidP="000A60B4">
      <w:pPr>
        <w:jc w:val="both"/>
        <w:rPr>
          <w:rFonts w:ascii="Times New Roman" w:hAnsi="Times New Roman" w:cs="Times New Roman"/>
          <w:sz w:val="24"/>
          <w:szCs w:val="24"/>
          <w:lang w:val="bg-BG"/>
        </w:rPr>
      </w:pPr>
      <w:r>
        <w:rPr>
          <w:rFonts w:ascii="Times New Roman" w:hAnsi="Times New Roman" w:cs="Times New Roman"/>
          <w:sz w:val="24"/>
          <w:szCs w:val="24"/>
          <w:lang w:val="bg-BG"/>
        </w:rPr>
        <w:t>В</w:t>
      </w:r>
      <w:r w:rsidRPr="00FD5842">
        <w:rPr>
          <w:rFonts w:ascii="Times New Roman" w:hAnsi="Times New Roman" w:cs="Times New Roman"/>
          <w:sz w:val="24"/>
          <w:szCs w:val="24"/>
          <w:lang w:val="bg-BG"/>
        </w:rPr>
        <w:t xml:space="preserve">ъвежда </w:t>
      </w:r>
      <w:r>
        <w:rPr>
          <w:rFonts w:ascii="Times New Roman" w:hAnsi="Times New Roman" w:cs="Times New Roman"/>
          <w:sz w:val="24"/>
          <w:szCs w:val="24"/>
          <w:lang w:val="bg-BG"/>
        </w:rPr>
        <w:t xml:space="preserve">се </w:t>
      </w:r>
      <w:r w:rsidRPr="00FD5842">
        <w:rPr>
          <w:rFonts w:ascii="Times New Roman" w:hAnsi="Times New Roman" w:cs="Times New Roman"/>
          <w:sz w:val="24"/>
          <w:szCs w:val="24"/>
          <w:lang w:val="bg-BG"/>
        </w:rPr>
        <w:t>изискване за поемане на три годишен ангажимент от страна на кандидатите, като по този начин се цели да се запази дългосрочността на екологичните ефекти, за които допринасят прилагането на методите на биологичното животновъдство.</w:t>
      </w:r>
      <w:r>
        <w:rPr>
          <w:rFonts w:ascii="Times New Roman" w:hAnsi="Times New Roman" w:cs="Times New Roman"/>
          <w:sz w:val="24"/>
          <w:szCs w:val="24"/>
          <w:lang w:val="bg-BG"/>
        </w:rPr>
        <w:t xml:space="preserve"> В съответствие с изискванията на чл. 70 от Регламент (ЕС) 2021/2115 е</w:t>
      </w:r>
      <w:r w:rsidRPr="00FD5842">
        <w:rPr>
          <w:rFonts w:ascii="Times New Roman" w:hAnsi="Times New Roman" w:cs="Times New Roman"/>
          <w:sz w:val="24"/>
          <w:szCs w:val="24"/>
          <w:lang w:val="bg-BG"/>
        </w:rPr>
        <w:t xml:space="preserve"> заложено изискване новите бенефициенти по интервенцията задължително да преминават агроекологично или биологично обучение.</w:t>
      </w:r>
    </w:p>
    <w:p w:rsidR="000A60B4" w:rsidRPr="00F43374" w:rsidRDefault="000A60B4" w:rsidP="000A60B4">
      <w:pPr>
        <w:spacing w:after="200" w:line="276" w:lineRule="auto"/>
        <w:jc w:val="both"/>
        <w:rPr>
          <w:rFonts w:ascii="Times New Roman" w:eastAsia="Calibri" w:hAnsi="Times New Roman" w:cs="Times New Roman"/>
          <w:sz w:val="24"/>
          <w:szCs w:val="24"/>
          <w:lang w:val="bg-BG"/>
        </w:rPr>
      </w:pPr>
      <w:r w:rsidRPr="00FD5842">
        <w:rPr>
          <w:rFonts w:ascii="Times New Roman" w:hAnsi="Times New Roman" w:cs="Times New Roman"/>
          <w:sz w:val="24"/>
          <w:szCs w:val="24"/>
          <w:lang w:val="bg-BG"/>
        </w:rPr>
        <w:t>Със запазването на основните изисквания, които и до момента са се прилагали по еко схемата</w:t>
      </w:r>
      <w:r>
        <w:rPr>
          <w:rFonts w:ascii="Times New Roman" w:hAnsi="Times New Roman" w:cs="Times New Roman"/>
          <w:sz w:val="24"/>
          <w:szCs w:val="24"/>
          <w:lang w:val="bg-BG"/>
        </w:rPr>
        <w:t>,</w:t>
      </w:r>
      <w:r w:rsidRPr="00FD5842">
        <w:rPr>
          <w:rFonts w:ascii="Times New Roman" w:hAnsi="Times New Roman" w:cs="Times New Roman"/>
          <w:sz w:val="24"/>
          <w:szCs w:val="24"/>
          <w:lang w:val="bg-BG"/>
        </w:rPr>
        <w:t xml:space="preserve"> се цели запазване на тенденция</w:t>
      </w:r>
      <w:r>
        <w:rPr>
          <w:rFonts w:ascii="Times New Roman" w:hAnsi="Times New Roman" w:cs="Times New Roman"/>
          <w:sz w:val="24"/>
          <w:szCs w:val="24"/>
          <w:lang w:val="bg-BG"/>
        </w:rPr>
        <w:t>та</w:t>
      </w:r>
      <w:r w:rsidRPr="00FD5842">
        <w:rPr>
          <w:rFonts w:ascii="Times New Roman" w:hAnsi="Times New Roman" w:cs="Times New Roman"/>
          <w:sz w:val="24"/>
          <w:szCs w:val="24"/>
          <w:lang w:val="bg-BG"/>
        </w:rPr>
        <w:t xml:space="preserve"> на увеличение на земеделските стопани, които прилагат методите на биологичното животновъдство в своите стопанства.</w:t>
      </w:r>
      <w:r>
        <w:rPr>
          <w:rFonts w:ascii="Times New Roman" w:hAnsi="Times New Roman" w:cs="Times New Roman"/>
          <w:sz w:val="24"/>
          <w:szCs w:val="24"/>
          <w:lang w:val="bg-BG"/>
        </w:rPr>
        <w:t xml:space="preserve"> </w:t>
      </w:r>
      <w:r w:rsidRPr="00535296">
        <w:rPr>
          <w:rFonts w:ascii="Times New Roman" w:eastAsia="Calibri" w:hAnsi="Times New Roman" w:cs="Times New Roman"/>
          <w:sz w:val="24"/>
          <w:szCs w:val="24"/>
          <w:lang w:val="bg-BG"/>
        </w:rPr>
        <w:t xml:space="preserve">Очаква се по новата интервенция да участват земеделските стопани, които до момента са кандидатствали по  еко схема за биологично земеделие (селскостопански животни).  </w:t>
      </w:r>
    </w:p>
    <w:p w:rsidR="000A60B4" w:rsidRPr="00F43374" w:rsidRDefault="000A60B4" w:rsidP="000A60B4">
      <w:pPr>
        <w:spacing w:after="120" w:line="276" w:lineRule="auto"/>
        <w:jc w:val="both"/>
        <w:rPr>
          <w:rFonts w:ascii="Times New Roman" w:eastAsia="Calibri" w:hAnsi="Times New Roman" w:cs="Times New Roman"/>
          <w:sz w:val="24"/>
          <w:szCs w:val="24"/>
          <w:lang w:val="bg-BG"/>
        </w:rPr>
      </w:pPr>
      <w:r w:rsidRPr="00F43374">
        <w:rPr>
          <w:rFonts w:ascii="Times New Roman" w:eastAsia="Calibri" w:hAnsi="Times New Roman" w:cs="Times New Roman"/>
          <w:bCs/>
          <w:sz w:val="24"/>
          <w:szCs w:val="24"/>
          <w:lang w:val="bg-BG"/>
        </w:rPr>
        <w:t xml:space="preserve">Подпомагането по интервенция </w:t>
      </w:r>
      <w:r>
        <w:rPr>
          <w:rFonts w:ascii="Times New Roman" w:eastAsia="Calibri" w:hAnsi="Times New Roman" w:cs="Times New Roman"/>
          <w:bCs/>
          <w:sz w:val="24"/>
          <w:szCs w:val="24"/>
          <w:lang w:val="bg-BG"/>
        </w:rPr>
        <w:t>„</w:t>
      </w:r>
      <w:r w:rsidRPr="00F43374">
        <w:rPr>
          <w:rFonts w:ascii="Times New Roman" w:eastAsia="Calibri" w:hAnsi="Times New Roman" w:cs="Times New Roman"/>
          <w:bCs/>
          <w:sz w:val="24"/>
          <w:szCs w:val="24"/>
          <w:lang w:val="bg-BG"/>
        </w:rPr>
        <w:t>Биологично животновъдство</w:t>
      </w:r>
      <w:r>
        <w:rPr>
          <w:rFonts w:ascii="Times New Roman" w:eastAsia="Calibri" w:hAnsi="Times New Roman" w:cs="Times New Roman"/>
          <w:bCs/>
          <w:sz w:val="24"/>
          <w:szCs w:val="24"/>
          <w:lang w:val="bg-BG"/>
        </w:rPr>
        <w:t>“</w:t>
      </w:r>
      <w:r w:rsidRPr="00F43374">
        <w:rPr>
          <w:rFonts w:ascii="Times New Roman" w:eastAsia="Calibri" w:hAnsi="Times New Roman" w:cs="Times New Roman"/>
          <w:bCs/>
          <w:sz w:val="24"/>
          <w:szCs w:val="24"/>
          <w:lang w:val="bg-BG"/>
        </w:rPr>
        <w:t xml:space="preserve"> ще  се предоставя под формата на годишни плащания на хектар използваема земеделска площ</w:t>
      </w:r>
      <w:r>
        <w:rPr>
          <w:rFonts w:ascii="Times New Roman" w:eastAsia="Calibri" w:hAnsi="Times New Roman" w:cs="Times New Roman"/>
          <w:bCs/>
          <w:sz w:val="24"/>
          <w:szCs w:val="24"/>
          <w:lang w:val="bg-BG"/>
        </w:rPr>
        <w:t xml:space="preserve">, </w:t>
      </w:r>
      <w:r w:rsidRPr="00F43374">
        <w:rPr>
          <w:rFonts w:ascii="Times New Roman" w:eastAsia="Calibri" w:hAnsi="Times New Roman" w:cs="Times New Roman"/>
          <w:sz w:val="24"/>
          <w:szCs w:val="24"/>
          <w:lang w:val="bg-BG"/>
        </w:rPr>
        <w:t>при спазване на съотношение:</w:t>
      </w:r>
    </w:p>
    <w:p w:rsidR="000A60B4" w:rsidRPr="00F43374" w:rsidRDefault="000A60B4" w:rsidP="000A60B4">
      <w:pPr>
        <w:numPr>
          <w:ilvl w:val="0"/>
          <w:numId w:val="4"/>
        </w:numPr>
        <w:spacing w:after="120" w:line="240" w:lineRule="auto"/>
        <w:ind w:left="782" w:hanging="357"/>
        <w:jc w:val="both"/>
        <w:rPr>
          <w:rFonts w:ascii="Times New Roman" w:eastAsia="Calibri" w:hAnsi="Times New Roman" w:cs="Times New Roman"/>
          <w:sz w:val="24"/>
          <w:szCs w:val="24"/>
          <w:lang w:val="bg-BG"/>
        </w:rPr>
      </w:pPr>
      <w:r w:rsidRPr="00F43374">
        <w:rPr>
          <w:rFonts w:ascii="Times New Roman" w:eastAsia="Calibri" w:hAnsi="Times New Roman" w:cs="Times New Roman"/>
          <w:sz w:val="24"/>
          <w:szCs w:val="24"/>
          <w:lang w:val="bg-BG"/>
        </w:rPr>
        <w:t>от 0,</w:t>
      </w:r>
      <w:r>
        <w:rPr>
          <w:rFonts w:ascii="Times New Roman" w:eastAsia="Calibri" w:hAnsi="Times New Roman" w:cs="Times New Roman"/>
          <w:sz w:val="24"/>
          <w:szCs w:val="24"/>
          <w:lang w:val="bg-BG"/>
        </w:rPr>
        <w:t>15</w:t>
      </w:r>
      <w:r w:rsidRPr="00F43374">
        <w:rPr>
          <w:rFonts w:ascii="Times New Roman" w:eastAsia="Calibri" w:hAnsi="Times New Roman" w:cs="Times New Roman"/>
          <w:sz w:val="24"/>
          <w:szCs w:val="24"/>
          <w:lang w:val="bg-BG"/>
        </w:rPr>
        <w:t xml:space="preserve"> до 1 ЖЕ</w:t>
      </w:r>
      <w:r>
        <w:rPr>
          <w:rFonts w:ascii="Times New Roman" w:eastAsia="Calibri" w:hAnsi="Times New Roman" w:cs="Times New Roman"/>
          <w:sz w:val="24"/>
          <w:szCs w:val="24"/>
          <w:lang w:val="bg-BG"/>
        </w:rPr>
        <w:t>/ха</w:t>
      </w:r>
      <w:r w:rsidRPr="00F43374">
        <w:rPr>
          <w:rFonts w:ascii="Times New Roman" w:eastAsia="Calibri" w:hAnsi="Times New Roman" w:cs="Times New Roman"/>
          <w:sz w:val="24"/>
          <w:szCs w:val="24"/>
          <w:lang w:val="bg-BG"/>
        </w:rPr>
        <w:t xml:space="preserve"> - 363 евро/ха;</w:t>
      </w:r>
    </w:p>
    <w:p w:rsidR="000A60B4" w:rsidRDefault="000A60B4" w:rsidP="000A60B4">
      <w:pPr>
        <w:pStyle w:val="ListParagraph"/>
        <w:numPr>
          <w:ilvl w:val="0"/>
          <w:numId w:val="4"/>
        </w:numPr>
        <w:spacing w:after="120" w:line="240" w:lineRule="auto"/>
        <w:ind w:left="782" w:hanging="357"/>
        <w:jc w:val="both"/>
        <w:rPr>
          <w:rFonts w:ascii="Times New Roman" w:eastAsia="Calibri" w:hAnsi="Times New Roman" w:cs="Times New Roman"/>
          <w:sz w:val="24"/>
          <w:szCs w:val="24"/>
          <w:lang w:val="bg-BG"/>
        </w:rPr>
      </w:pPr>
      <w:r w:rsidRPr="00F43374">
        <w:rPr>
          <w:rFonts w:ascii="Times New Roman" w:eastAsia="Calibri" w:hAnsi="Times New Roman" w:cs="Times New Roman"/>
          <w:sz w:val="24"/>
          <w:szCs w:val="24"/>
          <w:lang w:val="bg-BG"/>
        </w:rPr>
        <w:t>от 1 до 2 ЖЕ</w:t>
      </w:r>
      <w:r>
        <w:rPr>
          <w:rFonts w:ascii="Times New Roman" w:eastAsia="Calibri" w:hAnsi="Times New Roman" w:cs="Times New Roman"/>
          <w:sz w:val="24"/>
          <w:szCs w:val="24"/>
          <w:lang w:val="bg-BG"/>
        </w:rPr>
        <w:t>/ха</w:t>
      </w:r>
      <w:r w:rsidRPr="00F43374">
        <w:rPr>
          <w:rFonts w:ascii="Times New Roman" w:eastAsia="Calibri" w:hAnsi="Times New Roman" w:cs="Times New Roman"/>
          <w:sz w:val="24"/>
          <w:szCs w:val="24"/>
          <w:lang w:val="bg-BG"/>
        </w:rPr>
        <w:t xml:space="preserve"> - 759 евро/ха.</w:t>
      </w:r>
    </w:p>
    <w:p w:rsidR="000A60B4" w:rsidRPr="00F43374" w:rsidRDefault="000A60B4" w:rsidP="000A60B4">
      <w:pPr>
        <w:spacing w:after="120" w:line="276" w:lineRule="auto"/>
        <w:jc w:val="both"/>
        <w:rPr>
          <w:rFonts w:ascii="Times New Roman" w:eastAsia="Calibri" w:hAnsi="Times New Roman" w:cs="Times New Roman"/>
          <w:sz w:val="24"/>
          <w:szCs w:val="24"/>
          <w:lang w:val="bg-BG"/>
        </w:rPr>
      </w:pPr>
      <w:r w:rsidRPr="00F43374">
        <w:rPr>
          <w:rFonts w:ascii="Times New Roman" w:eastAsia="Calibri" w:hAnsi="Times New Roman" w:cs="Times New Roman"/>
          <w:sz w:val="24"/>
          <w:szCs w:val="24"/>
          <w:lang w:val="bg-BG"/>
        </w:rPr>
        <w:t>Плащането е на хектар допустима земеделска земя, обхваната от задълженията по интервенцията. Ставката е съгласно чл. 70 Регламент (ЕС) 2021/2115. Изчисляването на компенсациите по отделните операции е направено чрез осредняване при отчитането на размера на пропуснатите ползи и повишени разходи, при прилагане на методите на биологично земеделие. Очакваните площи са определени на база</w:t>
      </w:r>
      <w:r>
        <w:rPr>
          <w:rFonts w:ascii="Times New Roman" w:eastAsia="Calibri" w:hAnsi="Times New Roman" w:cs="Times New Roman"/>
          <w:sz w:val="24"/>
          <w:szCs w:val="24"/>
          <w:lang w:val="bg-BG"/>
        </w:rPr>
        <w:t xml:space="preserve"> заложените площи в еко схемата</w:t>
      </w:r>
      <w:r w:rsidRPr="00F43374">
        <w:rPr>
          <w:rFonts w:ascii="Times New Roman" w:eastAsia="Calibri" w:hAnsi="Times New Roman" w:cs="Times New Roman"/>
          <w:sz w:val="24"/>
          <w:szCs w:val="24"/>
          <w:lang w:val="bg-BG"/>
        </w:rPr>
        <w:t>.</w:t>
      </w:r>
    </w:p>
    <w:p w:rsidR="000A60B4" w:rsidRPr="008A7EE5" w:rsidRDefault="000A60B4" w:rsidP="000A60B4">
      <w:pPr>
        <w:jc w:val="both"/>
        <w:rPr>
          <w:rFonts w:ascii="Times New Roman" w:hAnsi="Times New Roman" w:cs="Times New Roman"/>
          <w:sz w:val="24"/>
          <w:szCs w:val="24"/>
          <w:lang w:val="bg-BG"/>
        </w:rPr>
      </w:pPr>
      <w:r w:rsidRPr="00FD5842">
        <w:rPr>
          <w:rFonts w:ascii="Times New Roman" w:hAnsi="Times New Roman" w:cs="Times New Roman"/>
          <w:sz w:val="24"/>
          <w:szCs w:val="24"/>
          <w:lang w:val="bg-BG"/>
        </w:rPr>
        <w:t xml:space="preserve">При разработването на новата интервенция </w:t>
      </w:r>
      <w:r>
        <w:rPr>
          <w:rFonts w:ascii="Times New Roman" w:hAnsi="Times New Roman" w:cs="Times New Roman"/>
          <w:sz w:val="24"/>
          <w:szCs w:val="24"/>
          <w:lang w:val="bg-BG"/>
        </w:rPr>
        <w:t>„</w:t>
      </w:r>
      <w:r w:rsidRPr="00FD5842">
        <w:rPr>
          <w:rFonts w:ascii="Times New Roman" w:hAnsi="Times New Roman" w:cs="Times New Roman"/>
          <w:sz w:val="24"/>
          <w:szCs w:val="24"/>
          <w:lang w:val="bg-BG"/>
        </w:rPr>
        <w:t>Биологично животновъдство</w:t>
      </w:r>
      <w:r>
        <w:rPr>
          <w:rFonts w:ascii="Times New Roman" w:hAnsi="Times New Roman" w:cs="Times New Roman"/>
          <w:sz w:val="24"/>
          <w:szCs w:val="24"/>
          <w:lang w:val="bg-BG"/>
        </w:rPr>
        <w:t>“</w:t>
      </w:r>
      <w:r w:rsidRPr="00FD5842">
        <w:rPr>
          <w:rFonts w:ascii="Times New Roman" w:hAnsi="Times New Roman" w:cs="Times New Roman"/>
          <w:sz w:val="24"/>
          <w:szCs w:val="24"/>
          <w:lang w:val="bg-BG"/>
        </w:rPr>
        <w:t xml:space="preserve"> бе направен анализ за наличните средства по интервенцията </w:t>
      </w:r>
      <w:r>
        <w:rPr>
          <w:rFonts w:ascii="Times New Roman" w:hAnsi="Times New Roman" w:cs="Times New Roman"/>
          <w:sz w:val="24"/>
          <w:szCs w:val="24"/>
          <w:lang w:val="bg-BG"/>
        </w:rPr>
        <w:t>„</w:t>
      </w:r>
      <w:r w:rsidRPr="00FD5842">
        <w:rPr>
          <w:rFonts w:ascii="Times New Roman" w:hAnsi="Times New Roman" w:cs="Times New Roman"/>
          <w:sz w:val="24"/>
          <w:szCs w:val="24"/>
          <w:lang w:val="bg-BG"/>
        </w:rPr>
        <w:t>Биологично растениевъдство</w:t>
      </w:r>
      <w:r>
        <w:rPr>
          <w:rFonts w:ascii="Times New Roman" w:hAnsi="Times New Roman" w:cs="Times New Roman"/>
          <w:sz w:val="24"/>
          <w:szCs w:val="24"/>
          <w:lang w:val="bg-BG"/>
        </w:rPr>
        <w:t>“</w:t>
      </w:r>
      <w:r w:rsidRPr="00FD5842">
        <w:rPr>
          <w:rFonts w:ascii="Times New Roman" w:hAnsi="Times New Roman" w:cs="Times New Roman"/>
          <w:sz w:val="24"/>
          <w:szCs w:val="24"/>
          <w:lang w:val="bg-BG"/>
        </w:rPr>
        <w:t xml:space="preserve">, </w:t>
      </w:r>
      <w:r w:rsidR="00267642">
        <w:rPr>
          <w:rFonts w:ascii="Times New Roman" w:hAnsi="Times New Roman" w:cs="Times New Roman"/>
          <w:sz w:val="24"/>
          <w:szCs w:val="24"/>
          <w:lang w:val="bg-BG"/>
        </w:rPr>
        <w:t>посочен по-горе, като д</w:t>
      </w:r>
      <w:r w:rsidRPr="008A7EE5">
        <w:rPr>
          <w:rFonts w:ascii="Times New Roman" w:hAnsi="Times New Roman" w:cs="Times New Roman"/>
          <w:sz w:val="24"/>
          <w:szCs w:val="24"/>
          <w:lang w:val="bg-BG"/>
        </w:rPr>
        <w:t>анните от анализа показват, че до края на програмния период за интервенция „Биологично растениевъдство“ ще са необходими средства в размер на приблизително 225 000 000 евро.</w:t>
      </w:r>
      <w:r w:rsidRPr="008A7EE5">
        <w:rPr>
          <w:rFonts w:ascii="Times New Roman" w:hAnsi="Times New Roman" w:cs="Times New Roman"/>
          <w:sz w:val="24"/>
          <w:szCs w:val="24"/>
        </w:rPr>
        <w:t xml:space="preserve"> </w:t>
      </w:r>
      <w:r w:rsidRPr="008A7EE5">
        <w:rPr>
          <w:rFonts w:ascii="Times New Roman" w:hAnsi="Times New Roman" w:cs="Times New Roman"/>
          <w:sz w:val="24"/>
          <w:szCs w:val="24"/>
          <w:lang w:val="bg-BG"/>
        </w:rPr>
        <w:t xml:space="preserve">В тази сума са включени изплатените към 30.06.2025 г. средства по интервенцията, както и прогнозният ръст на площите, които ще бъдат обхванати от ангажименти.  </w:t>
      </w:r>
    </w:p>
    <w:p w:rsidR="000A60B4" w:rsidRPr="00737C93" w:rsidRDefault="000A60B4" w:rsidP="000A60B4">
      <w:pPr>
        <w:spacing w:after="200" w:line="276" w:lineRule="auto"/>
        <w:jc w:val="both"/>
        <w:rPr>
          <w:rFonts w:ascii="Times New Roman" w:eastAsia="Calibri" w:hAnsi="Times New Roman" w:cs="Times New Roman"/>
          <w:sz w:val="24"/>
          <w:szCs w:val="24"/>
          <w:lang w:val="bg-BG"/>
        </w:rPr>
      </w:pPr>
      <w:r w:rsidRPr="00535296">
        <w:rPr>
          <w:rFonts w:ascii="Times New Roman" w:eastAsia="Calibri" w:hAnsi="Times New Roman" w:cs="Times New Roman"/>
          <w:sz w:val="24"/>
          <w:szCs w:val="24"/>
          <w:lang w:val="bg-BG"/>
        </w:rPr>
        <w:lastRenderedPageBreak/>
        <w:t>Изплатените средства за кампании 2024 г. по еко схема за биологично животновъдство са в размер на 26 392 963 евро. При отчитане на този размер и прилагането на 3 годишни ангажименти във Втори стълб, би могло да се допусне, че общо ще са необходими средства в размер до 85 млн. евро. В тези средства е предвидена и възможност за включване и на земеделски стопани, които до момента не са получавали подпомагане по еко схемата.</w:t>
      </w:r>
      <w:r>
        <w:rPr>
          <w:rFonts w:ascii="Times New Roman" w:eastAsia="Calibri" w:hAnsi="Times New Roman" w:cs="Times New Roman"/>
          <w:sz w:val="24"/>
          <w:szCs w:val="24"/>
          <w:lang w:val="bg-BG"/>
        </w:rPr>
        <w:t xml:space="preserve"> </w:t>
      </w:r>
      <w:r w:rsidRPr="00737C93">
        <w:rPr>
          <w:rFonts w:ascii="Times New Roman" w:eastAsia="Calibri" w:hAnsi="Times New Roman" w:cs="Times New Roman"/>
          <w:sz w:val="24"/>
          <w:szCs w:val="24"/>
          <w:lang w:val="bg-BG"/>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rsidR="000A60B4" w:rsidRDefault="000A60B4" w:rsidP="000A60B4">
      <w:pPr>
        <w:spacing w:after="200" w:line="276"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След извеждане на средства в размер 85 млн. евро за обезпечаване на новата интервенция, бюджет по интервенция „Биологично растениевъдство“ е в размер на </w:t>
      </w:r>
      <w:r w:rsidRPr="00F43374">
        <w:rPr>
          <w:rFonts w:ascii="Times New Roman" w:eastAsia="Calibri" w:hAnsi="Times New Roman" w:cs="Times New Roman"/>
          <w:sz w:val="24"/>
          <w:szCs w:val="24"/>
        </w:rPr>
        <w:t>271</w:t>
      </w:r>
      <w:r>
        <w:rPr>
          <w:rFonts w:ascii="Times New Roman" w:eastAsia="Calibri" w:hAnsi="Times New Roman" w:cs="Times New Roman"/>
          <w:sz w:val="24"/>
          <w:szCs w:val="24"/>
          <w:lang w:val="bg-BG"/>
        </w:rPr>
        <w:t xml:space="preserve"> </w:t>
      </w:r>
      <w:r w:rsidRPr="00F43374">
        <w:rPr>
          <w:rFonts w:ascii="Times New Roman" w:eastAsia="Calibri" w:hAnsi="Times New Roman" w:cs="Times New Roman"/>
          <w:sz w:val="24"/>
          <w:szCs w:val="24"/>
        </w:rPr>
        <w:t>378</w:t>
      </w:r>
      <w:r>
        <w:rPr>
          <w:rFonts w:ascii="Times New Roman" w:eastAsia="Calibri" w:hAnsi="Times New Roman" w:cs="Times New Roman"/>
          <w:sz w:val="24"/>
          <w:szCs w:val="24"/>
          <w:lang w:val="bg-BG"/>
        </w:rPr>
        <w:t xml:space="preserve"> </w:t>
      </w:r>
      <w:r w:rsidRPr="00F43374">
        <w:rPr>
          <w:rFonts w:ascii="Times New Roman" w:eastAsia="Calibri" w:hAnsi="Times New Roman" w:cs="Times New Roman"/>
          <w:sz w:val="24"/>
          <w:szCs w:val="24"/>
        </w:rPr>
        <w:t>524.53</w:t>
      </w:r>
      <w:r>
        <w:rPr>
          <w:rFonts w:ascii="Times New Roman" w:eastAsia="Calibri" w:hAnsi="Times New Roman" w:cs="Times New Roman"/>
          <w:sz w:val="24"/>
          <w:szCs w:val="24"/>
          <w:lang w:val="bg-BG"/>
        </w:rPr>
        <w:t xml:space="preserve"> евро до края на програмния период.</w:t>
      </w:r>
    </w:p>
    <w:p w:rsidR="000A60B4" w:rsidRDefault="000A60B4" w:rsidP="000A60B4">
      <w:pPr>
        <w:jc w:val="both"/>
        <w:rPr>
          <w:rFonts w:ascii="Times New Roman" w:hAnsi="Times New Roman" w:cs="Times New Roman"/>
          <w:sz w:val="24"/>
          <w:szCs w:val="24"/>
          <w:lang w:val="bg-BG"/>
        </w:rPr>
      </w:pPr>
      <w:r w:rsidRPr="00FD5842">
        <w:rPr>
          <w:rFonts w:ascii="Times New Roman" w:hAnsi="Times New Roman" w:cs="Times New Roman"/>
          <w:sz w:val="24"/>
          <w:szCs w:val="24"/>
          <w:lang w:val="bg-BG"/>
        </w:rPr>
        <w:t xml:space="preserve">С въвеждането на новата интервенция </w:t>
      </w:r>
      <w:r>
        <w:rPr>
          <w:rFonts w:ascii="Times New Roman" w:hAnsi="Times New Roman" w:cs="Times New Roman"/>
          <w:sz w:val="24"/>
          <w:szCs w:val="24"/>
          <w:lang w:val="bg-BG"/>
        </w:rPr>
        <w:t>„</w:t>
      </w:r>
      <w:r w:rsidRPr="00FD5842">
        <w:rPr>
          <w:rFonts w:ascii="Times New Roman" w:hAnsi="Times New Roman" w:cs="Times New Roman"/>
          <w:sz w:val="24"/>
          <w:szCs w:val="24"/>
          <w:lang w:val="bg-BG"/>
        </w:rPr>
        <w:t>Биологично животновъдство</w:t>
      </w:r>
      <w:r>
        <w:rPr>
          <w:rFonts w:ascii="Times New Roman" w:hAnsi="Times New Roman" w:cs="Times New Roman"/>
          <w:sz w:val="24"/>
          <w:szCs w:val="24"/>
          <w:lang w:val="bg-BG"/>
        </w:rPr>
        <w:t>“</w:t>
      </w:r>
      <w:r w:rsidRPr="00FD5842">
        <w:rPr>
          <w:rFonts w:ascii="Times New Roman" w:hAnsi="Times New Roman" w:cs="Times New Roman"/>
          <w:sz w:val="24"/>
          <w:szCs w:val="24"/>
          <w:lang w:val="bg-BG"/>
        </w:rPr>
        <w:t>, страната ще продължи да изпълнява заложените дългосрочни цели, а именно: да бъдат включени в подпомагане нови площи в система на контрол, като основният стремеж е достигане на 7 % от използваемата земеделска площ до 2027 г. да бъде поддържана по мет</w:t>
      </w:r>
      <w:r>
        <w:rPr>
          <w:rFonts w:ascii="Times New Roman" w:hAnsi="Times New Roman" w:cs="Times New Roman"/>
          <w:sz w:val="24"/>
          <w:szCs w:val="24"/>
          <w:lang w:val="bg-BG"/>
        </w:rPr>
        <w:t>одите на биологичното земеделие.</w:t>
      </w:r>
    </w:p>
    <w:p w:rsidR="000A60B4" w:rsidRPr="000334CC" w:rsidRDefault="000A60B4" w:rsidP="000A60B4">
      <w:pPr>
        <w:jc w:val="both"/>
        <w:rPr>
          <w:rFonts w:ascii="Times New Roman" w:hAnsi="Times New Roman" w:cs="Times New Roman"/>
          <w:sz w:val="24"/>
          <w:szCs w:val="24"/>
          <w:lang w:val="bg-BG"/>
        </w:rPr>
      </w:pPr>
    </w:p>
    <w:p w:rsidR="00901375" w:rsidRPr="00901375" w:rsidRDefault="00901375" w:rsidP="00901375">
      <w:pPr>
        <w:jc w:val="both"/>
        <w:rPr>
          <w:rFonts w:ascii="Times New Roman" w:hAnsi="Times New Roman" w:cs="Times New Roman"/>
          <w:sz w:val="24"/>
          <w:szCs w:val="24"/>
          <w:lang w:val="bg-BG"/>
        </w:rPr>
      </w:pPr>
    </w:p>
    <w:p w:rsidR="00901375" w:rsidRDefault="00901375" w:rsidP="00901375">
      <w:pPr>
        <w:jc w:val="both"/>
        <w:rPr>
          <w:rFonts w:ascii="Times New Roman" w:hAnsi="Times New Roman" w:cs="Times New Roman"/>
          <w:sz w:val="24"/>
          <w:szCs w:val="24"/>
          <w:lang w:val="bg-BG"/>
        </w:rPr>
      </w:pPr>
    </w:p>
    <w:p w:rsidR="00225E98" w:rsidRPr="00467D90" w:rsidRDefault="00225E98" w:rsidP="00901375">
      <w:pPr>
        <w:jc w:val="both"/>
        <w:rPr>
          <w:lang w:val="bg-BG"/>
        </w:rPr>
      </w:pPr>
    </w:p>
    <w:sectPr w:rsidR="00225E98" w:rsidRPr="00467D90" w:rsidSect="00267642">
      <w:footerReference w:type="default" r:id="rId10"/>
      <w:pgSz w:w="12240" w:h="15840"/>
      <w:pgMar w:top="1417" w:right="1417" w:bottom="993"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F2F" w:rsidRDefault="00894F2F" w:rsidP="00267642">
      <w:pPr>
        <w:spacing w:after="0" w:line="240" w:lineRule="auto"/>
      </w:pPr>
      <w:r>
        <w:separator/>
      </w:r>
    </w:p>
  </w:endnote>
  <w:endnote w:type="continuationSeparator" w:id="0">
    <w:p w:rsidR="00894F2F" w:rsidRDefault="00894F2F" w:rsidP="0026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754395"/>
      <w:docPartObj>
        <w:docPartGallery w:val="Page Numbers (Bottom of Page)"/>
        <w:docPartUnique/>
      </w:docPartObj>
    </w:sdtPr>
    <w:sdtEndPr>
      <w:rPr>
        <w:noProof/>
        <w:sz w:val="18"/>
        <w:szCs w:val="18"/>
      </w:rPr>
    </w:sdtEndPr>
    <w:sdtContent>
      <w:p w:rsidR="00267642" w:rsidRPr="00267642" w:rsidRDefault="00267642">
        <w:pPr>
          <w:pStyle w:val="Footer"/>
          <w:jc w:val="right"/>
          <w:rPr>
            <w:sz w:val="18"/>
            <w:szCs w:val="18"/>
          </w:rPr>
        </w:pPr>
        <w:r w:rsidRPr="00267642">
          <w:rPr>
            <w:sz w:val="18"/>
            <w:szCs w:val="18"/>
          </w:rPr>
          <w:fldChar w:fldCharType="begin"/>
        </w:r>
        <w:r w:rsidRPr="00267642">
          <w:rPr>
            <w:sz w:val="18"/>
            <w:szCs w:val="18"/>
          </w:rPr>
          <w:instrText xml:space="preserve"> PAGE   \* MERGEFORMAT </w:instrText>
        </w:r>
        <w:r w:rsidRPr="00267642">
          <w:rPr>
            <w:sz w:val="18"/>
            <w:szCs w:val="18"/>
          </w:rPr>
          <w:fldChar w:fldCharType="separate"/>
        </w:r>
        <w:r>
          <w:rPr>
            <w:noProof/>
            <w:sz w:val="18"/>
            <w:szCs w:val="18"/>
          </w:rPr>
          <w:t>8</w:t>
        </w:r>
        <w:r w:rsidRPr="00267642">
          <w:rPr>
            <w:noProof/>
            <w:sz w:val="18"/>
            <w:szCs w:val="18"/>
          </w:rPr>
          <w:fldChar w:fldCharType="end"/>
        </w:r>
      </w:p>
    </w:sdtContent>
  </w:sdt>
  <w:p w:rsidR="00267642" w:rsidRDefault="00267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F2F" w:rsidRDefault="00894F2F" w:rsidP="00267642">
      <w:pPr>
        <w:spacing w:after="0" w:line="240" w:lineRule="auto"/>
      </w:pPr>
      <w:r>
        <w:separator/>
      </w:r>
    </w:p>
  </w:footnote>
  <w:footnote w:type="continuationSeparator" w:id="0">
    <w:p w:rsidR="00894F2F" w:rsidRDefault="00894F2F" w:rsidP="00267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237FC"/>
    <w:multiLevelType w:val="hybridMultilevel"/>
    <w:tmpl w:val="00145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3C7B63"/>
    <w:multiLevelType w:val="hybridMultilevel"/>
    <w:tmpl w:val="D5002008"/>
    <w:lvl w:ilvl="0" w:tplc="4AF28AC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1521E0"/>
    <w:multiLevelType w:val="hybridMultilevel"/>
    <w:tmpl w:val="AA4A6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74388A"/>
    <w:multiLevelType w:val="hybridMultilevel"/>
    <w:tmpl w:val="B35C3D02"/>
    <w:lvl w:ilvl="0" w:tplc="E6420AAC">
      <w:start w:val="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3B404C"/>
    <w:multiLevelType w:val="hybridMultilevel"/>
    <w:tmpl w:val="789C8F58"/>
    <w:lvl w:ilvl="0" w:tplc="056ED00E">
      <w:start w:val="1"/>
      <w:numFmt w:val="bullet"/>
      <w:lvlText w:val=""/>
      <w:lvlJc w:val="left"/>
      <w:pPr>
        <w:ind w:left="786" w:hanging="360"/>
      </w:pPr>
      <w:rPr>
        <w:rFonts w:ascii="Symbol" w:hAnsi="Symbol" w:hint="default"/>
        <w:b/>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0BB"/>
    <w:rsid w:val="000A60B4"/>
    <w:rsid w:val="00225E98"/>
    <w:rsid w:val="00262AC7"/>
    <w:rsid w:val="00267642"/>
    <w:rsid w:val="00467D90"/>
    <w:rsid w:val="004C3FBB"/>
    <w:rsid w:val="004E2C14"/>
    <w:rsid w:val="00525A7B"/>
    <w:rsid w:val="005B587A"/>
    <w:rsid w:val="0063287E"/>
    <w:rsid w:val="00715651"/>
    <w:rsid w:val="00894F2F"/>
    <w:rsid w:val="00901375"/>
    <w:rsid w:val="00A0394A"/>
    <w:rsid w:val="00B4303F"/>
    <w:rsid w:val="00C650BB"/>
    <w:rsid w:val="00F56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19893"/>
  <w15:chartTrackingRefBased/>
  <w15:docId w15:val="{40280B97-5357-4951-8F50-1F7F934B2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18E"/>
    <w:rPr>
      <w:lang w:val="en-GB"/>
    </w:rPr>
  </w:style>
  <w:style w:type="paragraph" w:styleId="Heading1">
    <w:name w:val="heading 1"/>
    <w:basedOn w:val="Normal"/>
    <w:next w:val="Normal"/>
    <w:link w:val="Heading1Char"/>
    <w:uiPriority w:val="9"/>
    <w:qFormat/>
    <w:rsid w:val="000A60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AC7"/>
    <w:pPr>
      <w:ind w:left="720"/>
      <w:contextualSpacing/>
    </w:pPr>
  </w:style>
  <w:style w:type="table" w:styleId="TableGrid">
    <w:name w:val="Table Grid"/>
    <w:basedOn w:val="TableNormal"/>
    <w:uiPriority w:val="39"/>
    <w:rsid w:val="00901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A60B4"/>
    <w:rPr>
      <w:rFonts w:asciiTheme="majorHAnsi" w:eastAsiaTheme="majorEastAsia" w:hAnsiTheme="majorHAnsi" w:cstheme="majorBidi"/>
      <w:color w:val="2E74B5" w:themeColor="accent1" w:themeShade="BF"/>
      <w:sz w:val="32"/>
      <w:szCs w:val="32"/>
      <w:lang w:val="en-GB"/>
    </w:rPr>
  </w:style>
  <w:style w:type="paragraph" w:styleId="Header">
    <w:name w:val="header"/>
    <w:basedOn w:val="Normal"/>
    <w:link w:val="HeaderChar"/>
    <w:uiPriority w:val="99"/>
    <w:unhideWhenUsed/>
    <w:rsid w:val="002676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7642"/>
    <w:rPr>
      <w:lang w:val="en-GB"/>
    </w:rPr>
  </w:style>
  <w:style w:type="paragraph" w:styleId="Footer">
    <w:name w:val="footer"/>
    <w:basedOn w:val="Normal"/>
    <w:link w:val="FooterChar"/>
    <w:uiPriority w:val="99"/>
    <w:unhideWhenUsed/>
    <w:rsid w:val="002676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764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sz="1200">
                <a:effectLst/>
              </a:rPr>
              <a:t>Насърчаване на естественото опрашване</a:t>
            </a:r>
            <a:endParaRPr lang="en-US" sz="1200">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Брой подадени заявления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Кампания 2023</c:v>
                </c:pt>
                <c:pt idx="1">
                  <c:v>Кампания 2024</c:v>
                </c:pt>
                <c:pt idx="2">
                  <c:v>Кампания 2025</c:v>
                </c:pt>
              </c:strCache>
            </c:strRef>
          </c:cat>
          <c:val>
            <c:numRef>
              <c:f>Sheet1!$B$2:$B$4</c:f>
              <c:numCache>
                <c:formatCode>#,##0</c:formatCode>
                <c:ptCount val="3"/>
                <c:pt idx="0">
                  <c:v>274</c:v>
                </c:pt>
                <c:pt idx="1">
                  <c:v>326</c:v>
                </c:pt>
                <c:pt idx="2">
                  <c:v>386</c:v>
                </c:pt>
              </c:numCache>
            </c:numRef>
          </c:val>
          <c:extLst>
            <c:ext xmlns:c16="http://schemas.microsoft.com/office/drawing/2014/chart" uri="{C3380CC4-5D6E-409C-BE32-E72D297353CC}">
              <c16:uniqueId val="{00000000-17DA-4A20-985C-16C7A87943B3}"/>
            </c:ext>
          </c:extLst>
        </c:ser>
        <c:dLbls>
          <c:dLblPos val="outEnd"/>
          <c:showLegendKey val="0"/>
          <c:showVal val="1"/>
          <c:showCatName val="0"/>
          <c:showSerName val="0"/>
          <c:showPercent val="0"/>
          <c:showBubbleSize val="0"/>
        </c:dLbls>
        <c:gapWidth val="219"/>
        <c:overlap val="-27"/>
        <c:axId val="420201791"/>
        <c:axId val="420203455"/>
      </c:barChart>
      <c:catAx>
        <c:axId val="4202017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0203455"/>
        <c:crosses val="autoZero"/>
        <c:auto val="1"/>
        <c:lblAlgn val="ctr"/>
        <c:lblOffset val="100"/>
        <c:noMultiLvlLbl val="0"/>
      </c:catAx>
      <c:valAx>
        <c:axId val="420203455"/>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02017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sz="1000"/>
              <a:t>Операция</a:t>
            </a:r>
            <a:r>
              <a:rPr lang="bg-BG" sz="1000" baseline="0"/>
              <a:t> 1 "</a:t>
            </a:r>
            <a:r>
              <a:rPr lang="bg-BG" sz="1000"/>
              <a:t>Осигуряване на опрашване в планински райони и защитени зони от мрежата Натура 2000 (стационарни пчелини)"</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Брой подадени заявления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Кампания 2023</c:v>
                </c:pt>
                <c:pt idx="1">
                  <c:v>Кампания 2024</c:v>
                </c:pt>
                <c:pt idx="2">
                  <c:v>Кампания 2025</c:v>
                </c:pt>
              </c:strCache>
            </c:strRef>
          </c:cat>
          <c:val>
            <c:numRef>
              <c:f>Sheet1!$B$2:$B$4</c:f>
              <c:numCache>
                <c:formatCode>#,##0</c:formatCode>
                <c:ptCount val="3"/>
                <c:pt idx="0">
                  <c:v>263</c:v>
                </c:pt>
                <c:pt idx="1">
                  <c:v>319</c:v>
                </c:pt>
                <c:pt idx="2" formatCode="General">
                  <c:v>381</c:v>
                </c:pt>
              </c:numCache>
            </c:numRef>
          </c:val>
          <c:extLst>
            <c:ext xmlns:c16="http://schemas.microsoft.com/office/drawing/2014/chart" uri="{C3380CC4-5D6E-409C-BE32-E72D297353CC}">
              <c16:uniqueId val="{00000000-B2EA-4154-A235-7C416CD9A398}"/>
            </c:ext>
          </c:extLst>
        </c:ser>
        <c:dLbls>
          <c:showLegendKey val="0"/>
          <c:showVal val="0"/>
          <c:showCatName val="0"/>
          <c:showSerName val="0"/>
          <c:showPercent val="0"/>
          <c:showBubbleSize val="0"/>
        </c:dLbls>
        <c:gapWidth val="219"/>
        <c:overlap val="-27"/>
        <c:axId val="689503711"/>
        <c:axId val="689502463"/>
      </c:barChart>
      <c:catAx>
        <c:axId val="6895037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9502463"/>
        <c:crosses val="autoZero"/>
        <c:auto val="1"/>
        <c:lblAlgn val="ctr"/>
        <c:lblOffset val="100"/>
        <c:noMultiLvlLbl val="0"/>
      </c:catAx>
      <c:valAx>
        <c:axId val="68950246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950371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sz="1000"/>
              <a:t>Операция 2 "Ангажименти за предоставяне на услугата по опрашване чрез преместване и временно разполагане на пчелни семейства (подвижно пчеларство)"</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Брой подадени заявления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Кампания 2023</c:v>
                </c:pt>
                <c:pt idx="1">
                  <c:v>Кампания 2024</c:v>
                </c:pt>
                <c:pt idx="2">
                  <c:v>Кампания 2025</c:v>
                </c:pt>
              </c:strCache>
            </c:strRef>
          </c:cat>
          <c:val>
            <c:numRef>
              <c:f>Sheet1!$B$2:$B$4</c:f>
              <c:numCache>
                <c:formatCode>General</c:formatCode>
                <c:ptCount val="3"/>
                <c:pt idx="0">
                  <c:v>11</c:v>
                </c:pt>
                <c:pt idx="1">
                  <c:v>7</c:v>
                </c:pt>
                <c:pt idx="2">
                  <c:v>5</c:v>
                </c:pt>
              </c:numCache>
            </c:numRef>
          </c:val>
          <c:extLst>
            <c:ext xmlns:c16="http://schemas.microsoft.com/office/drawing/2014/chart" uri="{C3380CC4-5D6E-409C-BE32-E72D297353CC}">
              <c16:uniqueId val="{00000000-B9F8-467B-AC7A-C37B55DF4D0E}"/>
            </c:ext>
          </c:extLst>
        </c:ser>
        <c:dLbls>
          <c:dLblPos val="outEnd"/>
          <c:showLegendKey val="0"/>
          <c:showVal val="1"/>
          <c:showCatName val="0"/>
          <c:showSerName val="0"/>
          <c:showPercent val="0"/>
          <c:showBubbleSize val="0"/>
        </c:dLbls>
        <c:gapWidth val="219"/>
        <c:overlap val="-27"/>
        <c:axId val="553671183"/>
        <c:axId val="553668687"/>
      </c:barChart>
      <c:catAx>
        <c:axId val="5536711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3668687"/>
        <c:crosses val="autoZero"/>
        <c:auto val="1"/>
        <c:lblAlgn val="ctr"/>
        <c:lblOffset val="100"/>
        <c:noMultiLvlLbl val="0"/>
      </c:catAx>
      <c:valAx>
        <c:axId val="55366868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367118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8</Pages>
  <Words>2562</Words>
  <Characters>14607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Elena A. Ivanova</cp:lastModifiedBy>
  <cp:revision>2</cp:revision>
  <cp:lastPrinted>2025-08-20T11:49:00Z</cp:lastPrinted>
  <dcterms:created xsi:type="dcterms:W3CDTF">2025-08-20T14:55:00Z</dcterms:created>
  <dcterms:modified xsi:type="dcterms:W3CDTF">2025-08-20T14:55:00Z</dcterms:modified>
</cp:coreProperties>
</file>